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F221E" w14:textId="77777777" w:rsidR="006E0714" w:rsidRPr="003863AB" w:rsidRDefault="006E0714" w:rsidP="006E0714">
      <w:pPr>
        <w:pStyle w:val="a3"/>
        <w:spacing w:after="0"/>
        <w:ind w:left="900"/>
        <w:jc w:val="center"/>
        <w:rPr>
          <w:b/>
          <w:sz w:val="28"/>
          <w:szCs w:val="28"/>
        </w:rPr>
      </w:pPr>
      <w:r w:rsidRPr="003863AB">
        <w:rPr>
          <w:b/>
          <w:sz w:val="28"/>
          <w:szCs w:val="28"/>
        </w:rPr>
        <w:t xml:space="preserve">Инструкция </w:t>
      </w:r>
    </w:p>
    <w:p w14:paraId="239C8868" w14:textId="77777777" w:rsidR="006E0714" w:rsidRPr="003863AB" w:rsidRDefault="006E0714" w:rsidP="006E0714">
      <w:pPr>
        <w:pStyle w:val="a3"/>
        <w:spacing w:after="0"/>
        <w:ind w:left="900"/>
        <w:jc w:val="center"/>
        <w:rPr>
          <w:b/>
          <w:sz w:val="28"/>
          <w:szCs w:val="28"/>
        </w:rPr>
      </w:pPr>
      <w:r w:rsidRPr="003863AB">
        <w:rPr>
          <w:b/>
          <w:sz w:val="28"/>
          <w:szCs w:val="28"/>
        </w:rPr>
        <w:t>по медицинскому применению медицинского изделия</w:t>
      </w:r>
    </w:p>
    <w:p w14:paraId="4729B767" w14:textId="77777777" w:rsidR="006E0714" w:rsidRPr="003863AB" w:rsidRDefault="006E0714" w:rsidP="006E0714">
      <w:pPr>
        <w:pStyle w:val="a3"/>
        <w:spacing w:after="0"/>
        <w:ind w:left="900"/>
        <w:jc w:val="center"/>
        <w:rPr>
          <w:b/>
          <w:sz w:val="28"/>
          <w:szCs w:val="28"/>
        </w:rPr>
      </w:pPr>
    </w:p>
    <w:p w14:paraId="266DB80C" w14:textId="77777777" w:rsidR="00EE20D7" w:rsidRPr="003863AB" w:rsidRDefault="00455A19" w:rsidP="00455A1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2175220303"/>
      <w:bookmarkEnd w:id="0"/>
      <w:r w:rsidRPr="003863AB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="00EE20D7" w:rsidRPr="003863AB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3863AB">
        <w:rPr>
          <w:rFonts w:ascii="Times New Roman" w:hAnsi="Times New Roman" w:cs="Times New Roman"/>
          <w:b/>
          <w:color w:val="000000"/>
          <w:sz w:val="28"/>
          <w:szCs w:val="28"/>
        </w:rPr>
        <w:t>именование медицинского изделия</w:t>
      </w:r>
    </w:p>
    <w:p w14:paraId="5A3A5EBA" w14:textId="77777777" w:rsidR="00455A19" w:rsidRPr="003863AB" w:rsidRDefault="00455A19" w:rsidP="00455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3AB">
        <w:rPr>
          <w:rFonts w:ascii="Times New Roman" w:hAnsi="Times New Roman" w:cs="Times New Roman"/>
          <w:sz w:val="28"/>
          <w:szCs w:val="28"/>
        </w:rPr>
        <w:t>Набор для тестирования на ВИЧ OraQuick® HIV-1/2 с принадлежностями</w:t>
      </w:r>
    </w:p>
    <w:p w14:paraId="0C50F285" w14:textId="77777777" w:rsidR="00455A19" w:rsidRPr="003863AB" w:rsidRDefault="00455A19" w:rsidP="00455A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748FD7" w14:textId="77777777" w:rsidR="00EE20D7" w:rsidRPr="003863AB" w:rsidRDefault="00455A19" w:rsidP="00455A1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" w:name="2175220304"/>
      <w:bookmarkEnd w:id="1"/>
      <w:r w:rsidRPr="003863AB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EE20D7" w:rsidRPr="003863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остав </w:t>
      </w:r>
      <w:r w:rsidRPr="003863AB">
        <w:rPr>
          <w:rFonts w:ascii="Times New Roman" w:hAnsi="Times New Roman" w:cs="Times New Roman"/>
          <w:b/>
          <w:color w:val="000000"/>
          <w:sz w:val="28"/>
          <w:szCs w:val="28"/>
        </w:rPr>
        <w:t>и описание медицинского изделия</w:t>
      </w:r>
    </w:p>
    <w:p w14:paraId="4ABEF56F" w14:textId="77777777" w:rsidR="00455A19" w:rsidRPr="003863AB" w:rsidRDefault="00455A19" w:rsidP="00455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3863A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СОСТАВ</w:t>
      </w:r>
    </w:p>
    <w:p w14:paraId="1ADA845C" w14:textId="77777777" w:rsidR="00A63537" w:rsidRDefault="00455A19" w:rsidP="00455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63AB">
        <w:rPr>
          <w:rFonts w:ascii="Times New Roman" w:eastAsia="Calibri" w:hAnsi="Times New Roman" w:cs="Times New Roman"/>
          <w:sz w:val="28"/>
          <w:szCs w:val="28"/>
          <w:lang w:val="it-IT"/>
        </w:rPr>
        <w:t>Разделенный на карманы пакет содержит</w:t>
      </w:r>
      <w:r w:rsidR="00A63537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C147984" w14:textId="77777777" w:rsidR="00A63537" w:rsidRDefault="00455A19" w:rsidP="00455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63AB">
        <w:rPr>
          <w:rFonts w:ascii="Times New Roman" w:eastAsia="Calibri" w:hAnsi="Times New Roman" w:cs="Times New Roman"/>
          <w:sz w:val="28"/>
          <w:szCs w:val="28"/>
        </w:rPr>
        <w:t>флакон с проявляющим в</w:t>
      </w:r>
      <w:r w:rsidR="00A63537">
        <w:rPr>
          <w:rFonts w:ascii="Times New Roman" w:eastAsia="Calibri" w:hAnsi="Times New Roman" w:cs="Times New Roman"/>
          <w:sz w:val="28"/>
          <w:szCs w:val="28"/>
        </w:rPr>
        <w:t>еществом и абсорбирующий пакет</w:t>
      </w:r>
    </w:p>
    <w:p w14:paraId="48868A5B" w14:textId="77777777" w:rsidR="00A63537" w:rsidRDefault="00A63537" w:rsidP="00455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многоразовый планшет</w:t>
      </w:r>
    </w:p>
    <w:p w14:paraId="6C7690E2" w14:textId="77777777" w:rsidR="00A63537" w:rsidRDefault="00A63537" w:rsidP="00455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тест-устройство</w:t>
      </w:r>
    </w:p>
    <w:p w14:paraId="1BA1276A" w14:textId="77777777" w:rsidR="00A63537" w:rsidRDefault="00A63537" w:rsidP="00455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петля для забора образцов.</w:t>
      </w:r>
    </w:p>
    <w:p w14:paraId="1071C3FC" w14:textId="77777777" w:rsidR="00A63537" w:rsidRPr="002D4DE1" w:rsidRDefault="00A63537" w:rsidP="00A63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F33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Инструкция по применению прилагается в комплекте.</w:t>
      </w:r>
    </w:p>
    <w:p w14:paraId="7778500B" w14:textId="77777777" w:rsidR="00455A19" w:rsidRPr="003863AB" w:rsidRDefault="00455A19" w:rsidP="00455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3863A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КРАТКОЕ ОПИСАНИЕ И ОБЪЯСНЕНИЕ МЕТОДА</w:t>
      </w:r>
    </w:p>
    <w:p w14:paraId="5DA3AA5C" w14:textId="77777777" w:rsidR="00455A19" w:rsidRPr="003863AB" w:rsidRDefault="00455A19" w:rsidP="00455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3863AB">
        <w:rPr>
          <w:rFonts w:ascii="Times New Roman" w:eastAsia="MyriadPro-LightCond" w:hAnsi="Times New Roman" w:cs="Times New Roman"/>
          <w:sz w:val="28"/>
          <w:szCs w:val="28"/>
          <w:lang w:eastAsia="en-US"/>
        </w:rPr>
        <w:t>ВИЧ-1 и ВИЧ-2 являются этиологическими агентами синдрома приобретенного иммунодефицита (СПИД) и сопутствующих заболеваний. Штаммы ВИЧ были выделены у пациентов, инфицированных СПИДом, имеющих заболевания, относящиеся к СПИД-ассоциированному комплексу (САК), и у здоровых людей, подверженных высокой степени риска инфицирования СПИДом 1–3. Клинические</w:t>
      </w:r>
    </w:p>
    <w:p w14:paraId="6ACB68B5" w14:textId="77777777" w:rsidR="00455A19" w:rsidRPr="003863AB" w:rsidRDefault="00455A19" w:rsidP="00455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3863AB">
        <w:rPr>
          <w:rFonts w:ascii="Times New Roman" w:eastAsia="MyriadPro-LightCond" w:hAnsi="Times New Roman" w:cs="Times New Roman"/>
          <w:sz w:val="28"/>
          <w:szCs w:val="28"/>
          <w:lang w:eastAsia="en-US"/>
        </w:rPr>
        <w:t>доказательства инфицирования ВИЧ можно получить путем анализа образцов крови и околодесенной жидкости на наличие антител к ВИЧ у лиц, подвергшихся риску заражения ВИЧ-инфекцией 4–6.</w:t>
      </w:r>
    </w:p>
    <w:p w14:paraId="187CC711" w14:textId="77777777" w:rsidR="00455A19" w:rsidRPr="003863AB" w:rsidRDefault="00455A19" w:rsidP="00455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3863AB">
        <w:rPr>
          <w:rFonts w:ascii="Times New Roman" w:eastAsia="MyriadPro-LightCond" w:hAnsi="Times New Roman" w:cs="Times New Roman"/>
          <w:sz w:val="28"/>
          <w:szCs w:val="28"/>
          <w:lang w:eastAsia="en-US"/>
        </w:rPr>
        <w:t>Экспресс-тест на наличие антител OraQuick® Rapid HIV-1/2 — одноразовый качественный иммуноанализ, который обнаруживает антитела к вирусу иммунодефицита человека 1-го типа (ВИЧ-1) и 2-го типа (ВИЧ-2), имеющиеся в образцах околодесенной жидкости, цельной крови, сыворотки и плазмы. Экспресс-тест OraQuick® Rapid HIV-1/2 Antibody Test — диагностическое средство, позволяющее</w:t>
      </w:r>
    </w:p>
    <w:p w14:paraId="05ED8C74" w14:textId="77777777" w:rsidR="00455A19" w:rsidRPr="003863AB" w:rsidRDefault="00455A19" w:rsidP="00455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3863AB">
        <w:rPr>
          <w:rFonts w:ascii="Times New Roman" w:eastAsia="MyriadPro-LightCond" w:hAnsi="Times New Roman" w:cs="Times New Roman"/>
          <w:sz w:val="28"/>
          <w:szCs w:val="28"/>
          <w:lang w:eastAsia="en-US"/>
        </w:rPr>
        <w:t>выявлять наличие вирусов ВИЧ-1 и ВИЧ-2 в процессе обслуживания без выполнения лабораторных анализов. Данный тест подходит для применения в алгоритмах многократного тестирования, предназначенных для статистической валидации результатов экспресс-тестов на ВИЧ. При наличии нескольких экспресс-тестов на ВИЧ данный тест должен использоваться в соответствующих алгоритмах многократного тестирования. Запрещается использовать экспресс-тест OraQuick® Rapid HIV-1/2 Antibody Test для скринингового обследования доноров цельной крови, плазмы и тканей.</w:t>
      </w:r>
    </w:p>
    <w:p w14:paraId="0531F73D" w14:textId="77777777" w:rsidR="00455A19" w:rsidRPr="003863AB" w:rsidRDefault="00455A19" w:rsidP="00455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b/>
          <w:bCs/>
          <w:sz w:val="28"/>
          <w:szCs w:val="28"/>
          <w:lang w:eastAsia="en-US"/>
        </w:rPr>
      </w:pPr>
      <w:r w:rsidRPr="003863AB">
        <w:rPr>
          <w:rFonts w:ascii="Times New Roman" w:eastAsia="MyriadPro-LightCond" w:hAnsi="Times New Roman" w:cs="Times New Roman"/>
          <w:b/>
          <w:bCs/>
          <w:sz w:val="28"/>
          <w:szCs w:val="28"/>
          <w:lang w:eastAsia="en-US"/>
        </w:rPr>
        <w:t>БИОЛОГИЧЕСКИЙ ПРИНЦИП ДЕЙСТВИЯ ТЕСТА</w:t>
      </w:r>
    </w:p>
    <w:p w14:paraId="68E6A25E" w14:textId="77777777" w:rsidR="00455A19" w:rsidRPr="003863AB" w:rsidRDefault="00455A19" w:rsidP="00455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3863AB"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Экспресс-тест OraQuick® HIV-1/2 — это визуально считываемый тест для качественного определения антител к ВИЧ-1 и ВИЧ-2 методом иммунохроматографии. Поверхность плоской подушечки, которая </w:t>
      </w:r>
      <w:r w:rsidRPr="003863AB">
        <w:rPr>
          <w:rFonts w:ascii="Times New Roman" w:eastAsia="MyriadPro-LightCond" w:hAnsi="Times New Roman" w:cs="Times New Roman"/>
          <w:sz w:val="28"/>
          <w:szCs w:val="28"/>
          <w:lang w:eastAsia="en-US"/>
        </w:rPr>
        <w:lastRenderedPageBreak/>
        <w:t>контактирует с деснами (см. ниже), обрабатывается поверхностно-активным веществом мягкого действия, и в процессе производства теста вирусные материалы не используются. Этот тест ни в коем случае не может стать причиной заражения ВИЧ-инфекцией. Тест-устройство (см. рисунок ниже) вводится в рот пациента так, чтобы плоская подушечка располагалась между внутренней поверхностью щеки и внешней поверхностью десны, затем проводится по</w:t>
      </w:r>
    </w:p>
    <w:p w14:paraId="72EFEDBA" w14:textId="77777777" w:rsidR="00455A19" w:rsidRPr="003863AB" w:rsidRDefault="00455A19" w:rsidP="00455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3863AB">
        <w:rPr>
          <w:rFonts w:ascii="Times New Roman" w:eastAsia="MyriadPro-LightCond" w:hAnsi="Times New Roman" w:cs="Times New Roman"/>
          <w:sz w:val="28"/>
          <w:szCs w:val="28"/>
          <w:lang w:eastAsia="en-US"/>
        </w:rPr>
        <w:t>линии десны (см. забор образца околодесенной жидкости в приведенном ниже параграфе ПРОЦЕДУРА ТЕСТА). Затем тест-устройство погружается во флакон, содержащий дозированное количество проявляющего раствора, где происходит проявление. Для фиксации флакона с растворителем используйте только планшеты, входящие в набор тест-системы. Жидкость, собранная с поверхности десен, пропитывает плоскую подушечку и поступает на реактивную тест-полоску. По мере распространения по полоске образец смачивает ее и перемешивается с реагентом, окрашенным в красный цвет (протеин А, связанный с коллоидным золотом). Иммуноглобулины класса G (IgG), имеющиеся в образце, связываются с реагентом. Если, в свою очередь, связанный иммуноглобулин (IgG) распознает искусственные антигены ВИЧ-1 или ВИЧ-2, нанесенные на полоску, помещенную в корпусе тест-устройства, в зоне Т (тестовой зоне) окна результатов проявится окрашенная линия. В противном случае линия не проявляется в этой зоне.</w:t>
      </w:r>
    </w:p>
    <w:p w14:paraId="797FE2E4" w14:textId="77777777" w:rsidR="00455A19" w:rsidRPr="003863AB" w:rsidRDefault="00455A19" w:rsidP="00455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3863AB">
        <w:rPr>
          <w:rFonts w:ascii="Times New Roman" w:eastAsia="MyriadPro-LightCond" w:hAnsi="Times New Roman" w:cs="Times New Roman"/>
          <w:sz w:val="28"/>
          <w:szCs w:val="28"/>
          <w:lang w:eastAsia="en-US"/>
        </w:rPr>
        <w:t>Поднимаясь выше по тест-полоске, окрашенный реагент вступает в реакцию с иммобилизованным биохимикатом, реагирующим с человеческими антителами. Линия, которая проявляется в зоне С окна езультатов, является контрольной линией. Эта линия служит для демонстрации достоверности анализа, указывая на то, что в околодесенной жидкости содержатся иммуноглобулины, что тест-полоска работает правильно и что жидкость распространяется по тест-устройству должным образом.</w:t>
      </w:r>
    </w:p>
    <w:p w14:paraId="3A303B71" w14:textId="77777777" w:rsidR="00455A19" w:rsidRPr="003863AB" w:rsidRDefault="00455A19" w:rsidP="00455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3863AB">
        <w:rPr>
          <w:rFonts w:ascii="Times New Roman" w:eastAsia="MyriadPro-LightCond" w:hAnsi="Times New Roman" w:cs="Times New Roman"/>
          <w:sz w:val="28"/>
          <w:szCs w:val="28"/>
          <w:lang w:eastAsia="en-US"/>
        </w:rPr>
        <w:t>В качестве альтернативного варианта можно собрать образец цельной крови, сыворотки или плазмы, используя специальную петлю. Петля погружается в проявитель, и ею слегка помешивают.</w:t>
      </w:r>
    </w:p>
    <w:p w14:paraId="67652634" w14:textId="77777777" w:rsidR="00455A19" w:rsidRPr="003863AB" w:rsidRDefault="00455A19" w:rsidP="00455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3863AB">
        <w:rPr>
          <w:rFonts w:ascii="Times New Roman" w:eastAsia="MyriadPro-LightCond" w:hAnsi="Times New Roman" w:cs="Times New Roman"/>
          <w:sz w:val="28"/>
          <w:szCs w:val="28"/>
          <w:lang w:eastAsia="en-US"/>
        </w:rPr>
        <w:t>См. процедуру теста для забора образца цельной крови, сыворотки и плазмы, описанную ниже.</w:t>
      </w:r>
    </w:p>
    <w:p w14:paraId="2E779606" w14:textId="77777777" w:rsidR="00455A19" w:rsidRPr="003863AB" w:rsidRDefault="00455A19" w:rsidP="00455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3AB">
        <w:rPr>
          <w:rFonts w:ascii="Times New Roman" w:eastAsia="MyriadPro-LightCond" w:hAnsi="Times New Roman" w:cs="Times New Roman"/>
          <w:sz w:val="28"/>
          <w:szCs w:val="28"/>
          <w:lang w:eastAsia="en-US"/>
        </w:rPr>
        <w:t>Отдельно можно приобрести контрольные реагенты к экспресс-тесту OraQuick® HIV-1/2. Контрольные реагенты необходимы для процедурного контроля работоспособности тест-системы (см. лист-вкладыш к контрольным реагентам).</w:t>
      </w:r>
    </w:p>
    <w:p w14:paraId="3CC324B2" w14:textId="77777777" w:rsidR="00EE20D7" w:rsidRPr="003863AB" w:rsidRDefault="00EE20D7" w:rsidP="009E1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2175220305"/>
      <w:bookmarkEnd w:id="2"/>
      <w:r w:rsidRPr="003863AB">
        <w:rPr>
          <w:rFonts w:ascii="Times New Roman" w:hAnsi="Times New Roman" w:cs="Times New Roman"/>
          <w:color w:val="000000"/>
          <w:sz w:val="28"/>
          <w:szCs w:val="28"/>
        </w:rPr>
        <w:t>технические и функциональные характеристики, необходимые пользователю для применения медицинского изделия по назначению, определенному производителем;</w:t>
      </w:r>
    </w:p>
    <w:p w14:paraId="25638334" w14:textId="77777777" w:rsidR="00455A19" w:rsidRPr="003863AB" w:rsidRDefault="00455A19" w:rsidP="00455A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2175220306"/>
      <w:bookmarkStart w:id="4" w:name="2175220309"/>
      <w:bookmarkEnd w:id="3"/>
      <w:bookmarkEnd w:id="4"/>
    </w:p>
    <w:p w14:paraId="75AD20C1" w14:textId="77777777" w:rsidR="00EE20D7" w:rsidRPr="003863AB" w:rsidRDefault="00455A19" w:rsidP="00455A1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863A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Наименование </w:t>
      </w:r>
      <w:r w:rsidR="00EE20D7" w:rsidRPr="003863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нормативного документа, в соответствии с которым </w:t>
      </w:r>
      <w:r w:rsidRPr="003863AB">
        <w:rPr>
          <w:rFonts w:ascii="Times New Roman" w:hAnsi="Times New Roman" w:cs="Times New Roman"/>
          <w:b/>
          <w:color w:val="000000"/>
          <w:sz w:val="28"/>
          <w:szCs w:val="28"/>
        </w:rPr>
        <w:t>произведено медицинское изделие</w:t>
      </w:r>
    </w:p>
    <w:p w14:paraId="0DCE752B" w14:textId="77777777" w:rsidR="00455A19" w:rsidRPr="00A63537" w:rsidRDefault="003863AB" w:rsidP="00455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3AB">
        <w:rPr>
          <w:rFonts w:ascii="Times New Roman" w:hAnsi="Times New Roman" w:cs="Times New Roman"/>
          <w:sz w:val="28"/>
          <w:szCs w:val="28"/>
          <w:lang w:val="en-US"/>
        </w:rPr>
        <w:t>WI</w:t>
      </w:r>
      <w:r w:rsidRPr="00A63537">
        <w:rPr>
          <w:rFonts w:ascii="Times New Roman" w:hAnsi="Times New Roman" w:cs="Times New Roman"/>
          <w:sz w:val="28"/>
          <w:szCs w:val="28"/>
        </w:rPr>
        <w:t xml:space="preserve"> </w:t>
      </w:r>
      <w:r w:rsidRPr="003863AB">
        <w:rPr>
          <w:rFonts w:ascii="Times New Roman" w:hAnsi="Times New Roman" w:cs="Times New Roman"/>
          <w:sz w:val="28"/>
          <w:szCs w:val="28"/>
          <w:lang w:val="en-US"/>
        </w:rPr>
        <w:t>QC</w:t>
      </w:r>
    </w:p>
    <w:p w14:paraId="44719936" w14:textId="77777777" w:rsidR="003863AB" w:rsidRPr="00A63537" w:rsidRDefault="003863AB" w:rsidP="00386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2175220310"/>
      <w:bookmarkEnd w:id="5"/>
    </w:p>
    <w:p w14:paraId="550F74FF" w14:textId="77777777" w:rsidR="00A63537" w:rsidRPr="002D4DE1" w:rsidRDefault="00A63537" w:rsidP="00A63537">
      <w:pPr>
        <w:spacing w:after="0" w:line="240" w:lineRule="auto"/>
        <w:ind w:right="-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DE1">
        <w:rPr>
          <w:rFonts w:ascii="Times New Roman" w:hAnsi="Times New Roman" w:cs="Times New Roman"/>
          <w:b/>
          <w:color w:val="000000"/>
          <w:sz w:val="28"/>
          <w:szCs w:val="28"/>
        </w:rPr>
        <w:t>Область применения и назначение медицинского изделия с указанием пользователя</w:t>
      </w:r>
      <w:r w:rsidRPr="002D4D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D08464F" w14:textId="77777777" w:rsidR="00A63537" w:rsidRPr="002D4DE1" w:rsidRDefault="00A63537" w:rsidP="00A63537">
      <w:pPr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2D4DE1">
        <w:rPr>
          <w:rFonts w:ascii="Times New Roman" w:hAnsi="Times New Roman" w:cs="Times New Roman"/>
          <w:sz w:val="28"/>
          <w:szCs w:val="28"/>
        </w:rPr>
        <w:t xml:space="preserve">Индивидуальное использование и ЛПУ </w:t>
      </w:r>
    </w:p>
    <w:p w14:paraId="517E1F36" w14:textId="77777777" w:rsidR="003863AB" w:rsidRPr="003863AB" w:rsidRDefault="003863AB" w:rsidP="003863A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863AB">
        <w:rPr>
          <w:rFonts w:ascii="Times New Roman" w:hAnsi="Times New Roman" w:cs="Times New Roman"/>
          <w:sz w:val="28"/>
          <w:szCs w:val="28"/>
        </w:rPr>
        <w:t>Экспресс-тест для определения антител к вирусу иммунодефицита человека (ВИЧ) для диагностики in vitro.</w:t>
      </w:r>
    </w:p>
    <w:p w14:paraId="6E8044A3" w14:textId="77777777" w:rsidR="00A63537" w:rsidRPr="002D4DE1" w:rsidRDefault="00A63537" w:rsidP="00A63537">
      <w:pPr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bookmarkStart w:id="6" w:name="2175220311"/>
      <w:bookmarkEnd w:id="6"/>
      <w:r>
        <w:rPr>
          <w:rFonts w:ascii="Times New Roman" w:hAnsi="Times New Roman" w:cs="Times New Roman"/>
          <w:sz w:val="28"/>
          <w:szCs w:val="28"/>
        </w:rPr>
        <w:t>Может быть использован как работниками лечебных учреждений, так и индивидуальными пользователями.</w:t>
      </w:r>
    </w:p>
    <w:p w14:paraId="49D6223E" w14:textId="77777777" w:rsidR="00A63537" w:rsidRDefault="00A63537" w:rsidP="003863A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6EC7645" w14:textId="77777777" w:rsidR="00EE20D7" w:rsidRPr="009E1D99" w:rsidRDefault="003863AB" w:rsidP="003863AB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нформация по мерам предосторожности (безопасности) и ограничениям при использовании медицинского изделия</w:t>
      </w:r>
      <w:r w:rsidR="00EE20D7" w:rsidRPr="009E1D99">
        <w:rPr>
          <w:rFonts w:ascii="Times New Roman" w:hAnsi="Times New Roman"/>
          <w:color w:val="000000"/>
          <w:sz w:val="28"/>
          <w:szCs w:val="28"/>
        </w:rPr>
        <w:t>:</w:t>
      </w:r>
    </w:p>
    <w:p w14:paraId="2882156D" w14:textId="77777777" w:rsidR="003863AB" w:rsidRPr="003863AB" w:rsidRDefault="003863AB" w:rsidP="003863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" w:name="2175220312"/>
      <w:bookmarkEnd w:id="7"/>
      <w:r w:rsidRPr="003863AB">
        <w:rPr>
          <w:rFonts w:ascii="Times New Roman" w:hAnsi="Times New Roman"/>
          <w:color w:val="000000"/>
          <w:sz w:val="28"/>
          <w:szCs w:val="28"/>
        </w:rPr>
        <w:t>ДОПОЛНИТЕЛЬНЫЕ МАТЕРИАЛЫ</w:t>
      </w:r>
    </w:p>
    <w:p w14:paraId="217CC0B4" w14:textId="77777777" w:rsidR="003863AB" w:rsidRPr="003863AB" w:rsidRDefault="003863AB" w:rsidP="003863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863AB">
        <w:rPr>
          <w:rFonts w:ascii="Times New Roman" w:hAnsi="Times New Roman"/>
          <w:color w:val="000000"/>
          <w:sz w:val="28"/>
          <w:szCs w:val="28"/>
        </w:rPr>
        <w:t>Для выполнения теста на образце околодесенной жидкости не требуются никакие дополнительные материалы. Однако для определения времени считывания образца следует иметь под рукой таймер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863AB">
        <w:rPr>
          <w:rFonts w:ascii="Times New Roman" w:hAnsi="Times New Roman"/>
          <w:color w:val="000000"/>
          <w:sz w:val="28"/>
          <w:szCs w:val="28"/>
        </w:rPr>
        <w:t>или часы.</w:t>
      </w:r>
    </w:p>
    <w:p w14:paraId="49F98584" w14:textId="77777777" w:rsidR="003863AB" w:rsidRDefault="003863AB" w:rsidP="003863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863AB">
        <w:rPr>
          <w:rFonts w:ascii="Times New Roman" w:hAnsi="Times New Roman"/>
          <w:color w:val="000000"/>
          <w:sz w:val="28"/>
          <w:szCs w:val="28"/>
        </w:rPr>
        <w:t>Для выполнения теста на образце капиллярной цельной крови, взятой из пальца, потребуется наличие тампона, смоченного в спир</w:t>
      </w:r>
      <w:r>
        <w:rPr>
          <w:rFonts w:ascii="Times New Roman" w:hAnsi="Times New Roman"/>
          <w:color w:val="000000"/>
          <w:sz w:val="28"/>
          <w:szCs w:val="28"/>
        </w:rPr>
        <w:t>те, и ланцета для прокола</w:t>
      </w:r>
      <w:r w:rsidRPr="003863AB">
        <w:rPr>
          <w:rFonts w:ascii="Times New Roman" w:hAnsi="Times New Roman"/>
          <w:color w:val="000000"/>
          <w:sz w:val="28"/>
          <w:szCs w:val="28"/>
        </w:rPr>
        <w:t>.</w:t>
      </w:r>
    </w:p>
    <w:p w14:paraId="048407C7" w14:textId="77777777" w:rsidR="003863AB" w:rsidRPr="003863AB" w:rsidRDefault="003863AB" w:rsidP="00386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3863A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ОГРАНИЧЕНИЯ ТЕСТА</w:t>
      </w:r>
    </w:p>
    <w:p w14:paraId="582B0335" w14:textId="77777777" w:rsidR="003863AB" w:rsidRPr="003863AB" w:rsidRDefault="003863AB" w:rsidP="00386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3863AB">
        <w:rPr>
          <w:rFonts w:ascii="Times New Roman" w:eastAsia="MyriadPro-LightCond" w:hAnsi="Times New Roman" w:cs="Times New Roman"/>
          <w:sz w:val="28"/>
          <w:szCs w:val="28"/>
          <w:lang w:eastAsia="en-US"/>
        </w:rPr>
        <w:t>1. Для получения достоверных результатов используйте экспресс-тест OraQuick® HIV-1/2 для определения антител к ВИЧ в соответствии с инструкциями, приведенными в настоящем</w:t>
      </w:r>
      <w:r w:rsidR="003E1530"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3863AB">
        <w:rPr>
          <w:rFonts w:ascii="Times New Roman" w:eastAsia="MyriadPro-LightCond" w:hAnsi="Times New Roman" w:cs="Times New Roman"/>
          <w:sz w:val="28"/>
          <w:szCs w:val="28"/>
          <w:lang w:eastAsia="en-US"/>
        </w:rPr>
        <w:t>листе-вкладыше.</w:t>
      </w:r>
    </w:p>
    <w:p w14:paraId="0526DEA6" w14:textId="77777777" w:rsidR="003863AB" w:rsidRPr="003863AB" w:rsidRDefault="003863AB" w:rsidP="00386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3863AB">
        <w:rPr>
          <w:rFonts w:ascii="Times New Roman" w:eastAsia="MyriadPro-LightCond" w:hAnsi="Times New Roman" w:cs="Times New Roman"/>
          <w:sz w:val="28"/>
          <w:szCs w:val="28"/>
          <w:lang w:eastAsia="en-US"/>
        </w:rPr>
        <w:t>2. Образцы околодесенной жидкости следует забирать непосредственно перед выполнением теста с помощью тест-системы OraQuick® HIV-1/2, как описано в соответствующей процедуре. При</w:t>
      </w:r>
      <w:r w:rsidR="003E1530"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3863AB">
        <w:rPr>
          <w:rFonts w:ascii="Times New Roman" w:eastAsia="MyriadPro-LightCond" w:hAnsi="Times New Roman" w:cs="Times New Roman"/>
          <w:sz w:val="28"/>
          <w:szCs w:val="28"/>
          <w:lang w:eastAsia="en-US"/>
        </w:rPr>
        <w:t>выполнении теста на крови несвежие образцы или образцы, которые подвергались заморозке и разморозке несколько раз, могут давать неверные результаты.</w:t>
      </w:r>
    </w:p>
    <w:p w14:paraId="3F384A57" w14:textId="77777777" w:rsidR="003863AB" w:rsidRPr="003863AB" w:rsidRDefault="003863AB" w:rsidP="00386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3863AB">
        <w:rPr>
          <w:rFonts w:ascii="Times New Roman" w:eastAsia="MyriadPro-LightCond" w:hAnsi="Times New Roman" w:cs="Times New Roman"/>
          <w:sz w:val="28"/>
          <w:szCs w:val="28"/>
          <w:lang w:eastAsia="en-US"/>
        </w:rPr>
        <w:t>3. Образцы крови, которые нагревались или инактивировались с применением химических веществ, могут давать неточные результаты.</w:t>
      </w:r>
    </w:p>
    <w:p w14:paraId="6D88C2BF" w14:textId="77777777" w:rsidR="003863AB" w:rsidRPr="003863AB" w:rsidRDefault="003863AB" w:rsidP="00386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3863AB">
        <w:rPr>
          <w:rFonts w:ascii="Times New Roman" w:eastAsia="MyriadPro-LightCond" w:hAnsi="Times New Roman" w:cs="Times New Roman"/>
          <w:sz w:val="28"/>
          <w:szCs w:val="28"/>
          <w:lang w:eastAsia="en-US"/>
        </w:rPr>
        <w:t>4. Тест не предназначен для использования с биологическими жидкостями организма, не указанными в данном документе, с образцами околодесенной жидкости, собранными другими способами</w:t>
      </w:r>
      <w:r w:rsidR="003E1530"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3863AB">
        <w:rPr>
          <w:rFonts w:ascii="Times New Roman" w:eastAsia="MyriadPro-LightCond" w:hAnsi="Times New Roman" w:cs="Times New Roman"/>
          <w:sz w:val="28"/>
          <w:szCs w:val="28"/>
          <w:lang w:eastAsia="en-US"/>
        </w:rPr>
        <w:t>или с помощью других доступных средств забора, а также с соединенными образцами.</w:t>
      </w:r>
    </w:p>
    <w:p w14:paraId="32A3FCBE" w14:textId="77777777" w:rsidR="003863AB" w:rsidRPr="003863AB" w:rsidRDefault="003863AB" w:rsidP="00386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3863AB">
        <w:rPr>
          <w:rFonts w:ascii="Times New Roman" w:eastAsia="MyriadPro-LightCond" w:hAnsi="Times New Roman" w:cs="Times New Roman"/>
          <w:sz w:val="28"/>
          <w:szCs w:val="28"/>
          <w:lang w:eastAsia="en-US"/>
        </w:rPr>
        <w:t>5. Сбор клинических данных эффективности экспресс-теста OraQuick® HIV-1/2 для определения антител к ВИЧ у детей младше 13 лет не проводился.</w:t>
      </w:r>
    </w:p>
    <w:p w14:paraId="5823D977" w14:textId="77777777" w:rsidR="003863AB" w:rsidRPr="003863AB" w:rsidRDefault="003863AB" w:rsidP="00386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3863AB">
        <w:rPr>
          <w:rFonts w:ascii="Times New Roman" w:eastAsia="MyriadPro-LightCond" w:hAnsi="Times New Roman" w:cs="Times New Roman"/>
          <w:sz w:val="28"/>
          <w:szCs w:val="28"/>
          <w:lang w:eastAsia="en-US"/>
        </w:rPr>
        <w:t>6. Не используйте этот тест в качестве единственного средства для диагностики СПИДа, заболеваний СПИД-ассоциированного комплекса и ВИЧ-инфекции. Любой полученный положительный</w:t>
      </w:r>
      <w:r w:rsidR="003E1530"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3863AB">
        <w:rPr>
          <w:rFonts w:ascii="Times New Roman" w:eastAsia="MyriadPro-LightCond" w:hAnsi="Times New Roman" w:cs="Times New Roman"/>
          <w:sz w:val="28"/>
          <w:szCs w:val="28"/>
          <w:lang w:eastAsia="en-US"/>
        </w:rPr>
        <w:t>результат следует подтвердить другими способами.</w:t>
      </w:r>
    </w:p>
    <w:p w14:paraId="725A9F44" w14:textId="77777777" w:rsidR="003863AB" w:rsidRPr="003863AB" w:rsidRDefault="003863AB" w:rsidP="00386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3863AB">
        <w:rPr>
          <w:rFonts w:ascii="Times New Roman" w:eastAsia="MyriadPro-LightCond" w:hAnsi="Times New Roman" w:cs="Times New Roman"/>
          <w:sz w:val="28"/>
          <w:szCs w:val="28"/>
          <w:lang w:eastAsia="en-US"/>
        </w:rPr>
        <w:lastRenderedPageBreak/>
        <w:t>7. При положительном результате интенсивность тест-линий не обязательно находится в зависимости от титра антител в образце.</w:t>
      </w:r>
    </w:p>
    <w:p w14:paraId="199CE945" w14:textId="77777777" w:rsidR="003863AB" w:rsidRPr="003863AB" w:rsidRDefault="003863AB" w:rsidP="00386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3863AB">
        <w:rPr>
          <w:rFonts w:ascii="Times New Roman" w:eastAsia="MyriadPro-LightCond" w:hAnsi="Times New Roman" w:cs="Times New Roman"/>
          <w:sz w:val="28"/>
          <w:szCs w:val="28"/>
          <w:lang w:eastAsia="en-US"/>
        </w:rPr>
        <w:t>8. Положительные результаты должны быть подтверждены с использованием других методов анализа для подтверждения диагноза ВИЧ-инфекции.</w:t>
      </w:r>
    </w:p>
    <w:p w14:paraId="33ADAF65" w14:textId="77777777" w:rsidR="003863AB" w:rsidRPr="003863AB" w:rsidRDefault="003863AB" w:rsidP="00386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3863AB">
        <w:rPr>
          <w:rFonts w:ascii="Times New Roman" w:eastAsia="MyriadPro-LightCond" w:hAnsi="Times New Roman" w:cs="Times New Roman"/>
          <w:sz w:val="28"/>
          <w:szCs w:val="28"/>
          <w:lang w:eastAsia="en-US"/>
        </w:rPr>
        <w:t>9. Отрицательный результат не исключает возможности заражения ВИЧ или наличия ВИЧ-инфекции. Иммунный ответ формируется в течение некоторого времени после инфицирования, поэтому</w:t>
      </w:r>
      <w:r w:rsidR="003E1530"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3863AB">
        <w:rPr>
          <w:rFonts w:ascii="Times New Roman" w:eastAsia="MyriadPro-LightCond" w:hAnsi="Times New Roman" w:cs="Times New Roman"/>
          <w:sz w:val="28"/>
          <w:szCs w:val="28"/>
          <w:lang w:eastAsia="en-US"/>
        </w:rPr>
        <w:t>на ранних стадиях болезни концентрация антител может не достигать обнаруживаемого уровня.</w:t>
      </w:r>
    </w:p>
    <w:p w14:paraId="292E796E" w14:textId="77777777" w:rsidR="003863AB" w:rsidRPr="003863AB" w:rsidRDefault="003863AB" w:rsidP="00386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3863AB">
        <w:rPr>
          <w:rFonts w:ascii="Times New Roman" w:eastAsia="MyriadPro-LightCond" w:hAnsi="Times New Roman" w:cs="Times New Roman"/>
          <w:sz w:val="28"/>
          <w:szCs w:val="28"/>
          <w:lang w:eastAsia="en-US"/>
        </w:rPr>
        <w:t>10. Если окно результатов сильно окрашивается, затрудняя считывание результатов по истечении 20 минут, подождите, пока краска не сойдет, чтобы считать результаты (но не дольше 40 минут с</w:t>
      </w:r>
      <w:r w:rsidR="003E1530"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3863AB">
        <w:rPr>
          <w:rFonts w:ascii="Times New Roman" w:eastAsia="MyriadPro-LightCond" w:hAnsi="Times New Roman" w:cs="Times New Roman"/>
          <w:sz w:val="28"/>
          <w:szCs w:val="28"/>
          <w:lang w:eastAsia="en-US"/>
        </w:rPr>
        <w:t>момента начала реакции).</w:t>
      </w:r>
    </w:p>
    <w:p w14:paraId="76F52C3A" w14:textId="77777777" w:rsidR="003863AB" w:rsidRPr="003863AB" w:rsidRDefault="003863AB" w:rsidP="00386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3863AB">
        <w:rPr>
          <w:rFonts w:ascii="Times New Roman" w:eastAsia="MyriadPro-LightCond" w:hAnsi="Times New Roman" w:cs="Times New Roman"/>
          <w:sz w:val="28"/>
          <w:szCs w:val="28"/>
          <w:lang w:eastAsia="en-US"/>
        </w:rPr>
        <w:t>11. У пациентов, получающих антиретровирусную терапию (АРТ), могут наблюдаться низкие уровни антител к ВИЧ, что приведет к получению ложноотрицательных результатов при тестировании</w:t>
      </w:r>
    </w:p>
    <w:p w14:paraId="36AEA0E9" w14:textId="77777777" w:rsidR="003E1530" w:rsidRDefault="003863AB" w:rsidP="003863AB">
      <w:pPr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3863AB">
        <w:rPr>
          <w:rFonts w:ascii="Times New Roman" w:eastAsia="MyriadPro-LightCond" w:hAnsi="Times New Roman" w:cs="Times New Roman"/>
          <w:sz w:val="28"/>
          <w:szCs w:val="28"/>
          <w:lang w:eastAsia="en-US"/>
        </w:rPr>
        <w:t>околодесенной жидкости.</w:t>
      </w:r>
    </w:p>
    <w:p w14:paraId="645FDD97" w14:textId="77777777" w:rsidR="003E1530" w:rsidRDefault="003E1530" w:rsidP="003E1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bookmarkStart w:id="8" w:name="2175220319"/>
      <w:bookmarkEnd w:id="8"/>
      <w:r w:rsidRPr="003E153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ПРЕДОСТЕРЕЖЕНИЯ И МЕРЫ ПРЕДОСТОРОЖНОСТИ </w:t>
      </w:r>
    </w:p>
    <w:p w14:paraId="4CC4C69E" w14:textId="77777777" w:rsidR="003E1530" w:rsidRPr="003E1530" w:rsidRDefault="003E1530" w:rsidP="003E1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3E153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Только для диагностики </w:t>
      </w:r>
      <w:r w:rsidRPr="003E1530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in vitro</w:t>
      </w:r>
    </w:p>
    <w:p w14:paraId="3404704B" w14:textId="77777777" w:rsidR="003E1530" w:rsidRPr="003E1530" w:rsidRDefault="003E1530" w:rsidP="003E1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3E1530">
        <w:rPr>
          <w:rFonts w:ascii="Times New Roman" w:eastAsia="MyriadPro-LightCond" w:hAnsi="Times New Roman" w:cs="Times New Roman"/>
          <w:sz w:val="28"/>
          <w:szCs w:val="28"/>
          <w:lang w:eastAsia="en-US"/>
        </w:rPr>
        <w:t>• Выполняйте манипуляции с образцами и материалами, контактирующими с образцами, так, как будто имеете дело с потенциально инфекционными биоматериалами</w:t>
      </w:r>
      <w:r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соблюдая все меры предосторожности. </w:t>
      </w:r>
      <w:r w:rsidRPr="003E1530">
        <w:rPr>
          <w:rFonts w:ascii="Times New Roman" w:eastAsia="MyriadPro-LightCond" w:hAnsi="Times New Roman" w:cs="Times New Roman"/>
          <w:sz w:val="28"/>
          <w:szCs w:val="28"/>
          <w:lang w:eastAsia="en-US"/>
        </w:rPr>
        <w:t>Согласно полученным данным, у некоторых инфицированных пациентов инфекционный ВИЧ может</w:t>
      </w:r>
      <w:r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3E1530">
        <w:rPr>
          <w:rFonts w:ascii="Times New Roman" w:eastAsia="MyriadPro-LightCond" w:hAnsi="Times New Roman" w:cs="Times New Roman"/>
          <w:sz w:val="28"/>
          <w:szCs w:val="28"/>
          <w:lang w:eastAsia="en-US"/>
        </w:rPr>
        <w:t>выделяться в околодесенную жидкость. Контагиозный вирус, обнаруживаемый в околодесенной жидкости, имеет намного меньшую концентрацию по сравнению с концентрацией вируса в</w:t>
      </w:r>
    </w:p>
    <w:p w14:paraId="2954BF5F" w14:textId="77777777" w:rsidR="003E1530" w:rsidRPr="003E1530" w:rsidRDefault="003E1530" w:rsidP="003E1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3E1530">
        <w:rPr>
          <w:rFonts w:ascii="Times New Roman" w:eastAsia="MyriadPro-LightCond" w:hAnsi="Times New Roman" w:cs="Times New Roman"/>
          <w:sz w:val="28"/>
          <w:szCs w:val="28"/>
          <w:lang w:eastAsia="en-US"/>
        </w:rPr>
        <w:t>образцах крови и подавляется ингибиторами, содержащимися в слюне.</w:t>
      </w:r>
    </w:p>
    <w:p w14:paraId="333E55FC" w14:textId="77777777" w:rsidR="003E1530" w:rsidRPr="003E1530" w:rsidRDefault="003E1530" w:rsidP="003E1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3E1530">
        <w:rPr>
          <w:rFonts w:ascii="Times New Roman" w:eastAsia="MyriadPro-LightCond" w:hAnsi="Times New Roman" w:cs="Times New Roman"/>
          <w:sz w:val="28"/>
          <w:szCs w:val="28"/>
          <w:lang w:eastAsia="en-US"/>
        </w:rPr>
        <w:t>• Тщательно очистите и продезинфицируйте места, на которые попали брызги околодесенной жидкости и крови. Используйте 0,5%-й раствор гипохлорита натрия (1:10 хозяйственного отбеливателя)</w:t>
      </w:r>
      <w:r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3E1530">
        <w:rPr>
          <w:rFonts w:ascii="Times New Roman" w:eastAsia="MyriadPro-LightCond" w:hAnsi="Times New Roman" w:cs="Times New Roman"/>
          <w:sz w:val="28"/>
          <w:szCs w:val="28"/>
          <w:lang w:eastAsia="en-US"/>
        </w:rPr>
        <w:t>или другое подходящее дезинфицирующее средство.</w:t>
      </w:r>
    </w:p>
    <w:p w14:paraId="79758068" w14:textId="77777777" w:rsidR="003E1530" w:rsidRPr="003E1530" w:rsidRDefault="003E1530" w:rsidP="003E1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3E1530">
        <w:rPr>
          <w:rFonts w:ascii="Times New Roman" w:eastAsia="MyriadPro-LightCond" w:hAnsi="Times New Roman" w:cs="Times New Roman"/>
          <w:sz w:val="28"/>
          <w:szCs w:val="28"/>
          <w:lang w:eastAsia="en-US"/>
        </w:rPr>
        <w:t>• Удаляйте все потенциально зараженные материалы в соответствии с местными нормами по удалению биологически опасных отходов.</w:t>
      </w:r>
    </w:p>
    <w:p w14:paraId="2BCC0A25" w14:textId="77777777" w:rsidR="003E1530" w:rsidRPr="003E1530" w:rsidRDefault="003E1530" w:rsidP="003E1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3E1530">
        <w:rPr>
          <w:rFonts w:ascii="Times New Roman" w:eastAsia="MyriadPro-LightCond" w:hAnsi="Times New Roman" w:cs="Times New Roman"/>
          <w:sz w:val="28"/>
          <w:szCs w:val="28"/>
          <w:lang w:eastAsia="en-US"/>
        </w:rPr>
        <w:t>• Если тест околодесенной жидкости должен быть выполнен повторно (после процедуры забора образца околодесенной жидкости), подождите 15 минут и снова начните процесс с использованием</w:t>
      </w:r>
      <w:r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3E1530">
        <w:rPr>
          <w:rFonts w:ascii="Times New Roman" w:eastAsia="MyriadPro-LightCond" w:hAnsi="Times New Roman" w:cs="Times New Roman"/>
          <w:sz w:val="28"/>
          <w:szCs w:val="28"/>
          <w:lang w:eastAsia="en-US"/>
        </w:rPr>
        <w:t>нового тест-устройства.</w:t>
      </w:r>
    </w:p>
    <w:p w14:paraId="4DAE0ABA" w14:textId="77777777" w:rsidR="003E1530" w:rsidRPr="003E1530" w:rsidRDefault="003E1530" w:rsidP="003E1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3E1530">
        <w:rPr>
          <w:rFonts w:ascii="Times New Roman" w:eastAsia="MyriadPro-LightCond" w:hAnsi="Times New Roman" w:cs="Times New Roman"/>
          <w:sz w:val="28"/>
          <w:szCs w:val="28"/>
          <w:lang w:eastAsia="en-US"/>
        </w:rPr>
        <w:t>• Считывайте показания в условиях достаточного освещения. В случае проявления двух линий с любой интенсивностью цвета результаты теста считаются положительными (см. раздел</w:t>
      </w:r>
      <w:r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3E1530">
        <w:rPr>
          <w:rFonts w:ascii="Cambria Math" w:eastAsia="MyriadPro-LightCond" w:hAnsi="Cambria Math" w:cs="Cambria Math"/>
          <w:sz w:val="28"/>
          <w:szCs w:val="28"/>
          <w:lang w:eastAsia="en-US"/>
        </w:rPr>
        <w:t>≪</w:t>
      </w:r>
      <w:r w:rsidRPr="003E1530">
        <w:rPr>
          <w:rFonts w:ascii="Times New Roman" w:eastAsia="MyriadPro-LightCond" w:hAnsi="Times New Roman" w:cs="Times New Roman"/>
          <w:sz w:val="28"/>
          <w:szCs w:val="28"/>
          <w:lang w:eastAsia="en-US"/>
        </w:rPr>
        <w:t>Интерпретация результатов</w:t>
      </w:r>
      <w:r w:rsidRPr="003E1530">
        <w:rPr>
          <w:rFonts w:ascii="Cambria Math" w:eastAsia="MyriadPro-LightCond" w:hAnsi="Cambria Math" w:cs="Cambria Math"/>
          <w:sz w:val="28"/>
          <w:szCs w:val="28"/>
          <w:lang w:eastAsia="en-US"/>
        </w:rPr>
        <w:t>≫</w:t>
      </w:r>
      <w:r w:rsidRPr="003E1530">
        <w:rPr>
          <w:rFonts w:ascii="Times New Roman" w:eastAsia="MyriadPro-LightCond" w:hAnsi="Times New Roman" w:cs="Times New Roman"/>
          <w:sz w:val="28"/>
          <w:szCs w:val="28"/>
          <w:lang w:eastAsia="en-US"/>
        </w:rPr>
        <w:t>).</w:t>
      </w:r>
    </w:p>
    <w:p w14:paraId="28DE60E1" w14:textId="77777777" w:rsidR="003E1530" w:rsidRPr="003E1530" w:rsidRDefault="003E1530" w:rsidP="003E1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3E1530">
        <w:rPr>
          <w:rFonts w:ascii="Times New Roman" w:eastAsia="MyriadPro-LightCond" w:hAnsi="Times New Roman" w:cs="Times New Roman"/>
          <w:sz w:val="28"/>
          <w:szCs w:val="28"/>
          <w:lang w:eastAsia="en-US"/>
        </w:rPr>
        <w:t>•Не накрывайте и не блокируйте каким-либо иным способом два окошечка на задней стороне тест-устройства. Это может затруднить распространение жидкости.</w:t>
      </w:r>
    </w:p>
    <w:p w14:paraId="7637735F" w14:textId="77777777" w:rsidR="003E1530" w:rsidRPr="003E1530" w:rsidRDefault="003E1530" w:rsidP="003E1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3E1530">
        <w:rPr>
          <w:rFonts w:ascii="Times New Roman" w:eastAsia="MyriadPro-LightCond" w:hAnsi="Times New Roman" w:cs="Times New Roman"/>
          <w:sz w:val="28"/>
          <w:szCs w:val="28"/>
          <w:lang w:eastAsia="en-US"/>
        </w:rPr>
        <w:lastRenderedPageBreak/>
        <w:t>•У пациентов, инфицированных ВИЧ-1 и (или) ВИЧ-2 и получающих высокоактивную антиретровирусную терапию (ВААРТ) или профилактическую терапию ВИЧ, могут быть получены</w:t>
      </w:r>
      <w:r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3E1530">
        <w:rPr>
          <w:rFonts w:ascii="Times New Roman" w:eastAsia="MyriadPro-LightCond" w:hAnsi="Times New Roman" w:cs="Times New Roman"/>
          <w:sz w:val="28"/>
          <w:szCs w:val="28"/>
          <w:lang w:eastAsia="en-US"/>
        </w:rPr>
        <w:t>ложноотрицательные результаты.</w:t>
      </w:r>
    </w:p>
    <w:p w14:paraId="48520955" w14:textId="77777777" w:rsidR="003E1530" w:rsidRDefault="003E1530" w:rsidP="003E153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E1530">
        <w:rPr>
          <w:rFonts w:ascii="Times New Roman" w:eastAsia="MyriadPro-LightCond" w:hAnsi="Times New Roman" w:cs="Times New Roman"/>
          <w:sz w:val="28"/>
          <w:szCs w:val="28"/>
          <w:lang w:eastAsia="en-US"/>
        </w:rPr>
        <w:t>•Не используйте тест-системы после истечения срока годности, указанного на секционном пакете. Всегда проверяйте дату истечения срока годности перед проведением теста.</w:t>
      </w:r>
    </w:p>
    <w:p w14:paraId="0E3CEB9B" w14:textId="77777777" w:rsidR="003E1530" w:rsidRPr="003E1530" w:rsidRDefault="003E1530" w:rsidP="003E153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2275819" w14:textId="77777777" w:rsidR="003E1530" w:rsidRPr="003E1530" w:rsidRDefault="003E1530" w:rsidP="003E1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3E153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ТЕХНИЧЕСКИЕ ХАРАКТЕРИСТИКИ</w:t>
      </w:r>
    </w:p>
    <w:p w14:paraId="4A6B992A" w14:textId="77777777" w:rsidR="003E1530" w:rsidRPr="003E1530" w:rsidRDefault="003E1530" w:rsidP="003E1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3E153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Чувствительность и специфичность с 95 % доверительных интервалов</w:t>
      </w:r>
    </w:p>
    <w:p w14:paraId="1CDFB12F" w14:textId="77777777" w:rsidR="003E1530" w:rsidRPr="003E1530" w:rsidRDefault="003E1530" w:rsidP="003E1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3E1530">
        <w:rPr>
          <w:rFonts w:ascii="Times New Roman" w:eastAsia="MyriadPro-LightCond" w:hAnsi="Times New Roman" w:cs="Times New Roman"/>
          <w:sz w:val="28"/>
          <w:szCs w:val="28"/>
          <w:lang w:eastAsia="en-US"/>
        </w:rPr>
        <w:t>Исследование чувствительности было проведено в трех клинических исследовательских центрах с использованием свежеполученных образцов околодесенной жидкости, цельной крови и</w:t>
      </w:r>
      <w:r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3E1530">
        <w:rPr>
          <w:rFonts w:ascii="Times New Roman" w:eastAsia="MyriadPro-LightCond" w:hAnsi="Times New Roman" w:cs="Times New Roman"/>
          <w:sz w:val="28"/>
          <w:szCs w:val="28"/>
          <w:lang w:eastAsia="en-US"/>
        </w:rPr>
        <w:t>плазмы 1000 участников с высоким риском ВИЧ-инфекции, с подтвержденным диагнозом ВИЧ-инфекции или СПИД или у доноров крови без выявленных факторов риска ВИЧ-инфекции. Из 1000</w:t>
      </w:r>
      <w:r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3E1530">
        <w:rPr>
          <w:rFonts w:ascii="Times New Roman" w:eastAsia="MyriadPro-LightCond" w:hAnsi="Times New Roman" w:cs="Times New Roman"/>
          <w:sz w:val="28"/>
          <w:szCs w:val="28"/>
          <w:lang w:eastAsia="en-US"/>
        </w:rPr>
        <w:t>результатов 779 были серонегативными и 219 — положительными. У 778 результат был правильно определен как отрицательный, у 1 результат был неверно определен как положительный с</w:t>
      </w:r>
    </w:p>
    <w:p w14:paraId="4C9D1225" w14:textId="77777777" w:rsidR="003E1530" w:rsidRPr="003E1530" w:rsidRDefault="003E1530" w:rsidP="003E1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3E1530">
        <w:rPr>
          <w:rFonts w:ascii="Times New Roman" w:eastAsia="MyriadPro-LightCond" w:hAnsi="Times New Roman" w:cs="Times New Roman"/>
          <w:sz w:val="28"/>
          <w:szCs w:val="28"/>
          <w:lang w:eastAsia="en-US"/>
        </w:rPr>
        <w:t>использованием OraQuick® и ИФА, но был отрицательным при вестерн-блоттинге. Всего 778 сопоставленных образцов были отрицательными при использовании теста OraQuick® для околодесенной</w:t>
      </w:r>
      <w:r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3E1530">
        <w:rPr>
          <w:rFonts w:ascii="Times New Roman" w:eastAsia="MyriadPro-LightCond" w:hAnsi="Times New Roman" w:cs="Times New Roman"/>
          <w:sz w:val="28"/>
          <w:szCs w:val="28"/>
          <w:lang w:eastAsia="en-US"/>
        </w:rPr>
        <w:t>жидкости, цельной крови и плазмы. Специфичность экспресс-теста OraQuick® HIV-1/2 составила 99,87 % (778/779). У всех 219 участников с положительным результатом постоянно наблюдалась</w:t>
      </w:r>
      <w:r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3E1530">
        <w:rPr>
          <w:rFonts w:ascii="Times New Roman" w:eastAsia="MyriadPro-LightCond" w:hAnsi="Times New Roman" w:cs="Times New Roman"/>
          <w:sz w:val="28"/>
          <w:szCs w:val="28"/>
          <w:lang w:eastAsia="en-US"/>
        </w:rPr>
        <w:t>положительная реакция при ИФА сыворотки, и у всех них был получен положительный результат при использовании экспресс-теста OraQuick® для околодесенной жидкости, цельной крови и плазмы.</w:t>
      </w:r>
    </w:p>
    <w:p w14:paraId="40CDE684" w14:textId="77777777" w:rsidR="003E1530" w:rsidRPr="003E1530" w:rsidRDefault="003E1530" w:rsidP="003E1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3E1530">
        <w:rPr>
          <w:rFonts w:ascii="Times New Roman" w:eastAsia="MyriadPro-LightCond" w:hAnsi="Times New Roman" w:cs="Times New Roman"/>
          <w:sz w:val="28"/>
          <w:szCs w:val="28"/>
          <w:lang w:eastAsia="en-US"/>
        </w:rPr>
        <w:t>Чувствительность экспресс-теста OraQuick® HIV-1/2 составила 100,0 % (219/219). Два участника не были включены в анализ, так как их статус ВИЧ-инфекции не был определен. Результаты данного</w:t>
      </w:r>
    </w:p>
    <w:p w14:paraId="36111DF6" w14:textId="77777777" w:rsidR="003E1530" w:rsidRDefault="003E1530" w:rsidP="003E153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E1530">
        <w:rPr>
          <w:rFonts w:ascii="Times New Roman" w:eastAsia="MyriadPro-LightCond" w:hAnsi="Times New Roman" w:cs="Times New Roman"/>
          <w:sz w:val="28"/>
          <w:szCs w:val="28"/>
          <w:lang w:eastAsia="en-US"/>
        </w:rPr>
        <w:t>исследования представлены в таблице ниже.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43"/>
        <w:gridCol w:w="1815"/>
        <w:gridCol w:w="1939"/>
        <w:gridCol w:w="1762"/>
        <w:gridCol w:w="1728"/>
      </w:tblGrid>
      <w:tr w:rsidR="00000D69" w:rsidRPr="00000D69" w14:paraId="6BEEC69B" w14:textId="77777777" w:rsidTr="00000D69">
        <w:tc>
          <w:tcPr>
            <w:tcW w:w="2043" w:type="dxa"/>
            <w:vMerge w:val="restart"/>
            <w:vAlign w:val="center"/>
          </w:tcPr>
          <w:p w14:paraId="49B72F32" w14:textId="77777777" w:rsidR="00000D69" w:rsidRPr="00000D69" w:rsidRDefault="00000D69" w:rsidP="00000D69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00D69">
              <w:rPr>
                <w:rFonts w:ascii="Times New Roman" w:eastAsiaTheme="minorHAnsi" w:hAnsi="Times New Roman" w:cs="Times New Roman"/>
                <w:b/>
                <w:lang w:eastAsia="en-US"/>
              </w:rPr>
              <w:t>Тип образца</w:t>
            </w:r>
          </w:p>
        </w:tc>
        <w:tc>
          <w:tcPr>
            <w:tcW w:w="3754" w:type="dxa"/>
            <w:gridSpan w:val="2"/>
            <w:vAlign w:val="center"/>
          </w:tcPr>
          <w:p w14:paraId="139A8049" w14:textId="77777777" w:rsidR="00000D69" w:rsidRPr="00000D69" w:rsidRDefault="00000D69" w:rsidP="00000D69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00D69">
              <w:rPr>
                <w:rFonts w:ascii="Times New Roman" w:eastAsiaTheme="minorHAnsi" w:hAnsi="Times New Roman" w:cs="Times New Roman"/>
                <w:b/>
                <w:lang w:eastAsia="en-US"/>
              </w:rPr>
              <w:t>Чувствительность (</w:t>
            </w:r>
            <w:r w:rsidRPr="00000D69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N</w:t>
            </w:r>
            <w:r w:rsidRPr="00000D69">
              <w:rPr>
                <w:rFonts w:ascii="Times New Roman" w:eastAsiaTheme="minorHAnsi" w:hAnsi="Times New Roman" w:cs="Times New Roman"/>
                <w:b/>
                <w:lang w:eastAsia="en-US"/>
              </w:rPr>
              <w:t>=219)</w:t>
            </w:r>
          </w:p>
        </w:tc>
        <w:tc>
          <w:tcPr>
            <w:tcW w:w="3490" w:type="dxa"/>
            <w:gridSpan w:val="2"/>
            <w:vAlign w:val="center"/>
          </w:tcPr>
          <w:p w14:paraId="2938324F" w14:textId="77777777" w:rsidR="00000D69" w:rsidRPr="00000D69" w:rsidRDefault="00000D69" w:rsidP="00000D69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00D69">
              <w:rPr>
                <w:rFonts w:ascii="Times New Roman" w:eastAsiaTheme="minorHAnsi" w:hAnsi="Times New Roman" w:cs="Times New Roman"/>
                <w:b/>
                <w:lang w:eastAsia="en-US"/>
              </w:rPr>
              <w:t>Специфичность (</w:t>
            </w:r>
            <w:r w:rsidRPr="00000D69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N</w:t>
            </w:r>
            <w:r w:rsidRPr="00000D69">
              <w:rPr>
                <w:rFonts w:ascii="Times New Roman" w:eastAsiaTheme="minorHAnsi" w:hAnsi="Times New Roman" w:cs="Times New Roman"/>
                <w:b/>
                <w:lang w:eastAsia="en-US"/>
              </w:rPr>
              <w:t>=779)</w:t>
            </w:r>
          </w:p>
        </w:tc>
      </w:tr>
      <w:tr w:rsidR="00000D69" w:rsidRPr="00000D69" w14:paraId="65D8D6A2" w14:textId="77777777" w:rsidTr="00000D69">
        <w:tc>
          <w:tcPr>
            <w:tcW w:w="2043" w:type="dxa"/>
            <w:vMerge/>
            <w:vAlign w:val="center"/>
          </w:tcPr>
          <w:p w14:paraId="42461435" w14:textId="77777777" w:rsidR="00000D69" w:rsidRPr="00000D69" w:rsidRDefault="00000D69" w:rsidP="00000D69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1815" w:type="dxa"/>
            <w:vAlign w:val="center"/>
          </w:tcPr>
          <w:p w14:paraId="1581FE50" w14:textId="77777777" w:rsidR="00000D69" w:rsidRPr="00000D69" w:rsidRDefault="00000D69" w:rsidP="00000D69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00D69">
              <w:rPr>
                <w:rFonts w:ascii="Times New Roman" w:eastAsiaTheme="minorHAnsi" w:hAnsi="Times New Roman" w:cs="Times New Roman"/>
                <w:b/>
                <w:lang w:eastAsia="en-US"/>
              </w:rPr>
              <w:t>Достоверно положительные</w:t>
            </w:r>
          </w:p>
        </w:tc>
        <w:tc>
          <w:tcPr>
            <w:tcW w:w="1939" w:type="dxa"/>
            <w:vAlign w:val="center"/>
          </w:tcPr>
          <w:p w14:paraId="3705FA5C" w14:textId="77777777" w:rsidR="00000D69" w:rsidRPr="00000D69" w:rsidRDefault="00000D69" w:rsidP="00000D69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00D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Доля (95% </w:t>
            </w:r>
            <w:r w:rsidRPr="00000D69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CI</w:t>
            </w:r>
            <w:r w:rsidRPr="00000D69">
              <w:rPr>
                <w:rFonts w:ascii="Times New Roman" w:eastAsiaTheme="minorHAnsi" w:hAnsi="Times New Roman" w:cs="Times New Roman"/>
                <w:b/>
                <w:lang w:eastAsia="en-US"/>
              </w:rPr>
              <w:t>)</w:t>
            </w:r>
          </w:p>
        </w:tc>
        <w:tc>
          <w:tcPr>
            <w:tcW w:w="1762" w:type="dxa"/>
            <w:vAlign w:val="center"/>
          </w:tcPr>
          <w:p w14:paraId="7B627735" w14:textId="77777777" w:rsidR="00000D69" w:rsidRPr="00000D69" w:rsidRDefault="00000D69" w:rsidP="00000D69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00D69">
              <w:rPr>
                <w:rFonts w:ascii="Times New Roman" w:eastAsiaTheme="minorHAnsi" w:hAnsi="Times New Roman" w:cs="Times New Roman"/>
                <w:b/>
                <w:lang w:eastAsia="en-US"/>
              </w:rPr>
              <w:t>Достоверно отрицательные</w:t>
            </w:r>
          </w:p>
        </w:tc>
        <w:tc>
          <w:tcPr>
            <w:tcW w:w="1728" w:type="dxa"/>
            <w:vAlign w:val="center"/>
          </w:tcPr>
          <w:p w14:paraId="0B8419A7" w14:textId="77777777" w:rsidR="00000D69" w:rsidRPr="00000D69" w:rsidRDefault="00000D69" w:rsidP="00AC5D32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00D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Доля (95% </w:t>
            </w:r>
            <w:r w:rsidRPr="00000D69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CI</w:t>
            </w:r>
            <w:r w:rsidRPr="00000D69">
              <w:rPr>
                <w:rFonts w:ascii="Times New Roman" w:eastAsiaTheme="minorHAnsi" w:hAnsi="Times New Roman" w:cs="Times New Roman"/>
                <w:b/>
                <w:lang w:eastAsia="en-US"/>
              </w:rPr>
              <w:t>)</w:t>
            </w:r>
          </w:p>
        </w:tc>
      </w:tr>
      <w:tr w:rsidR="00000D69" w:rsidRPr="00000D69" w14:paraId="74A4422C" w14:textId="77777777" w:rsidTr="00000D69">
        <w:tc>
          <w:tcPr>
            <w:tcW w:w="2043" w:type="dxa"/>
          </w:tcPr>
          <w:p w14:paraId="4AAF032E" w14:textId="77777777" w:rsidR="00000D69" w:rsidRPr="00000D69" w:rsidRDefault="00000D69" w:rsidP="003E1530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00D69">
              <w:rPr>
                <w:rFonts w:ascii="Times New Roman" w:eastAsiaTheme="minorHAnsi" w:hAnsi="Times New Roman" w:cs="Times New Roman"/>
                <w:lang w:eastAsia="en-US"/>
              </w:rPr>
              <w:t>Плазма</w:t>
            </w:r>
          </w:p>
        </w:tc>
        <w:tc>
          <w:tcPr>
            <w:tcW w:w="1815" w:type="dxa"/>
          </w:tcPr>
          <w:p w14:paraId="3719DEFE" w14:textId="77777777" w:rsidR="00000D69" w:rsidRPr="00000D69" w:rsidRDefault="00000D69" w:rsidP="00000D69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219/219</w:t>
            </w:r>
          </w:p>
        </w:tc>
        <w:tc>
          <w:tcPr>
            <w:tcW w:w="1939" w:type="dxa"/>
          </w:tcPr>
          <w:p w14:paraId="768C8399" w14:textId="77777777" w:rsidR="00000D69" w:rsidRPr="00000D69" w:rsidRDefault="00000D69" w:rsidP="00000D69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100,0% (98,3%, 100,0%)</w:t>
            </w:r>
          </w:p>
        </w:tc>
        <w:tc>
          <w:tcPr>
            <w:tcW w:w="1762" w:type="dxa"/>
          </w:tcPr>
          <w:p w14:paraId="07A16FCF" w14:textId="77777777" w:rsidR="00000D69" w:rsidRPr="00000D69" w:rsidRDefault="00000D69" w:rsidP="00000D69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779/779</w:t>
            </w:r>
          </w:p>
        </w:tc>
        <w:tc>
          <w:tcPr>
            <w:tcW w:w="1728" w:type="dxa"/>
          </w:tcPr>
          <w:p w14:paraId="574B08FA" w14:textId="77777777" w:rsidR="00000D69" w:rsidRPr="00000D69" w:rsidRDefault="00000D69" w:rsidP="00000D69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100,0% (99,5%, 100,0%)</w:t>
            </w:r>
          </w:p>
        </w:tc>
      </w:tr>
      <w:tr w:rsidR="00000D69" w:rsidRPr="00000D69" w14:paraId="2F9F0BBC" w14:textId="77777777" w:rsidTr="00000D69">
        <w:tc>
          <w:tcPr>
            <w:tcW w:w="2043" w:type="dxa"/>
          </w:tcPr>
          <w:p w14:paraId="5C8B8CA4" w14:textId="77777777" w:rsidR="00000D69" w:rsidRPr="00000D69" w:rsidRDefault="00000D69" w:rsidP="00AC5D32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00D69">
              <w:rPr>
                <w:rFonts w:ascii="Times New Roman" w:eastAsiaTheme="minorHAnsi" w:hAnsi="Times New Roman" w:cs="Times New Roman"/>
                <w:lang w:eastAsia="en-US"/>
              </w:rPr>
              <w:t>Цельная кровь</w:t>
            </w:r>
          </w:p>
        </w:tc>
        <w:tc>
          <w:tcPr>
            <w:tcW w:w="1815" w:type="dxa"/>
          </w:tcPr>
          <w:p w14:paraId="709F56C0" w14:textId="77777777" w:rsidR="00000D69" w:rsidRPr="00000D69" w:rsidRDefault="00000D69" w:rsidP="00000D69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219/219</w:t>
            </w:r>
          </w:p>
        </w:tc>
        <w:tc>
          <w:tcPr>
            <w:tcW w:w="1939" w:type="dxa"/>
          </w:tcPr>
          <w:p w14:paraId="2BD00886" w14:textId="77777777" w:rsidR="00000D69" w:rsidRDefault="00000D69" w:rsidP="00000D69">
            <w:pPr>
              <w:jc w:val="center"/>
            </w:pPr>
            <w:r w:rsidRPr="00744258">
              <w:rPr>
                <w:rFonts w:ascii="Times New Roman" w:eastAsiaTheme="minorHAnsi" w:hAnsi="Times New Roman" w:cs="Times New Roman"/>
                <w:lang w:eastAsia="en-US"/>
              </w:rPr>
              <w:t>100,0% (98,3%, 100,0%)</w:t>
            </w:r>
          </w:p>
        </w:tc>
        <w:tc>
          <w:tcPr>
            <w:tcW w:w="1762" w:type="dxa"/>
          </w:tcPr>
          <w:p w14:paraId="66E3D16C" w14:textId="77777777" w:rsidR="00000D69" w:rsidRPr="00000D69" w:rsidRDefault="00000D69" w:rsidP="00000D69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779/779</w:t>
            </w:r>
          </w:p>
        </w:tc>
        <w:tc>
          <w:tcPr>
            <w:tcW w:w="1728" w:type="dxa"/>
          </w:tcPr>
          <w:p w14:paraId="4CE606C8" w14:textId="77777777" w:rsidR="00000D69" w:rsidRDefault="00000D69" w:rsidP="00000D69">
            <w:pPr>
              <w:jc w:val="center"/>
            </w:pPr>
            <w:r w:rsidRPr="00E37254">
              <w:rPr>
                <w:rFonts w:ascii="Times New Roman" w:eastAsiaTheme="minorHAnsi" w:hAnsi="Times New Roman" w:cs="Times New Roman"/>
                <w:lang w:eastAsia="en-US"/>
              </w:rPr>
              <w:t>100,0% (99,5%, 100,0%)</w:t>
            </w:r>
          </w:p>
        </w:tc>
      </w:tr>
      <w:tr w:rsidR="00000D69" w:rsidRPr="00000D69" w14:paraId="16E4DBD2" w14:textId="77777777" w:rsidTr="00000D69">
        <w:tc>
          <w:tcPr>
            <w:tcW w:w="2043" w:type="dxa"/>
          </w:tcPr>
          <w:p w14:paraId="0392066A" w14:textId="77777777" w:rsidR="00000D69" w:rsidRPr="00000D69" w:rsidRDefault="00000D69" w:rsidP="003E1530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00D69">
              <w:rPr>
                <w:rFonts w:ascii="Times New Roman" w:eastAsiaTheme="minorHAnsi" w:hAnsi="Times New Roman" w:cs="Times New Roman"/>
                <w:lang w:eastAsia="en-US"/>
              </w:rPr>
              <w:t>Околодесенная жидкость</w:t>
            </w:r>
          </w:p>
        </w:tc>
        <w:tc>
          <w:tcPr>
            <w:tcW w:w="1815" w:type="dxa"/>
          </w:tcPr>
          <w:p w14:paraId="140CBF31" w14:textId="77777777" w:rsidR="00000D69" w:rsidRPr="00000D69" w:rsidRDefault="00000D69" w:rsidP="00000D69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219/219</w:t>
            </w:r>
          </w:p>
        </w:tc>
        <w:tc>
          <w:tcPr>
            <w:tcW w:w="1939" w:type="dxa"/>
          </w:tcPr>
          <w:p w14:paraId="480F747F" w14:textId="77777777" w:rsidR="00000D69" w:rsidRDefault="00000D69" w:rsidP="00000D69">
            <w:pPr>
              <w:jc w:val="center"/>
            </w:pPr>
            <w:r w:rsidRPr="00744258">
              <w:rPr>
                <w:rFonts w:ascii="Times New Roman" w:eastAsiaTheme="minorHAnsi" w:hAnsi="Times New Roman" w:cs="Times New Roman"/>
                <w:lang w:eastAsia="en-US"/>
              </w:rPr>
              <w:t>100,0% (98,3%, 100,0%)</w:t>
            </w:r>
          </w:p>
        </w:tc>
        <w:tc>
          <w:tcPr>
            <w:tcW w:w="1762" w:type="dxa"/>
          </w:tcPr>
          <w:p w14:paraId="13F500BC" w14:textId="77777777" w:rsidR="00000D69" w:rsidRPr="00000D69" w:rsidRDefault="00000D69" w:rsidP="00000D69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778/779</w:t>
            </w:r>
          </w:p>
        </w:tc>
        <w:tc>
          <w:tcPr>
            <w:tcW w:w="1728" w:type="dxa"/>
          </w:tcPr>
          <w:p w14:paraId="3929E28C" w14:textId="77777777" w:rsidR="00000D69" w:rsidRDefault="00000D69" w:rsidP="00000D69">
            <w:pPr>
              <w:jc w:val="center"/>
            </w:pPr>
            <w:r w:rsidRPr="00E37254">
              <w:rPr>
                <w:rFonts w:ascii="Times New Roman" w:eastAsiaTheme="minorHAnsi" w:hAnsi="Times New Roman" w:cs="Times New Roman"/>
                <w:lang w:eastAsia="en-US"/>
              </w:rPr>
              <w:t>100,0% (99,5%, 100,0%)</w:t>
            </w:r>
          </w:p>
        </w:tc>
      </w:tr>
    </w:tbl>
    <w:p w14:paraId="64D1BB4A" w14:textId="77777777" w:rsidR="003E1530" w:rsidRDefault="003E1530" w:rsidP="003E153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D0AE1F8" w14:textId="77777777" w:rsidR="00000D69" w:rsidRPr="00000D69" w:rsidRDefault="00000D69" w:rsidP="00000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000D6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Оценка выявляемости ВИЧ-1 на сероконверсионных панелях</w:t>
      </w:r>
    </w:p>
    <w:p w14:paraId="058BCA01" w14:textId="77777777" w:rsidR="00000D69" w:rsidRDefault="00000D69" w:rsidP="00000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000D69"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Доступные на рынке сероконверсионные панели (СКП) созданы путем проведения долгосрочных исследований, в которых осуществлялся сбор </w:t>
      </w:r>
      <w:r w:rsidRPr="00000D69">
        <w:rPr>
          <w:rFonts w:ascii="Times New Roman" w:eastAsia="MyriadPro-LightCond" w:hAnsi="Times New Roman" w:cs="Times New Roman"/>
          <w:sz w:val="28"/>
          <w:szCs w:val="28"/>
          <w:lang w:eastAsia="en-US"/>
        </w:rPr>
        <w:lastRenderedPageBreak/>
        <w:t>крови для определения того, в какой момент у пациента</w:t>
      </w:r>
      <w:r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000D69">
        <w:rPr>
          <w:rFonts w:ascii="Times New Roman" w:eastAsia="MyriadPro-LightCond" w:hAnsi="Times New Roman" w:cs="Times New Roman"/>
          <w:sz w:val="28"/>
          <w:szCs w:val="28"/>
          <w:lang w:eastAsia="en-US"/>
        </w:rPr>
        <w:t>определяется положительный результат анализа на ВИЧ при использовании различных тестов. Для экспресс-теста OraQuick® было протестировано всего 20 сероконверсионных панелей ВИЧ-1, результаты</w:t>
      </w:r>
      <w:r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000D69">
        <w:rPr>
          <w:rFonts w:ascii="Times New Roman" w:eastAsia="MyriadPro-LightCond" w:hAnsi="Times New Roman" w:cs="Times New Roman"/>
          <w:sz w:val="28"/>
          <w:szCs w:val="28"/>
          <w:lang w:eastAsia="en-US"/>
        </w:rPr>
        <w:t>сравнивались с зарегистрированным ИФА к ВИЧ 3-го поколения. Из данных 20 панелей восемь (8) сероконверсионных панелей давали согласованные результаты, одиннадцать (11) сероконверсионных</w:t>
      </w:r>
      <w:r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000D69">
        <w:rPr>
          <w:rFonts w:ascii="Times New Roman" w:eastAsia="MyriadPro-LightCond" w:hAnsi="Times New Roman" w:cs="Times New Roman"/>
          <w:sz w:val="28"/>
          <w:szCs w:val="28"/>
          <w:lang w:eastAsia="en-US"/>
        </w:rPr>
        <w:t>панелей ранее выявлялись при использовании ИФА и одна (1) сероконверсионная панель ранее выявлялась при использовании экспресс-теста OraQuick®. В среднем ИФА выявляла положительные</w:t>
      </w:r>
      <w:r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000D69">
        <w:rPr>
          <w:rFonts w:ascii="Times New Roman" w:eastAsia="MyriadPro-LightCond" w:hAnsi="Times New Roman" w:cs="Times New Roman"/>
          <w:sz w:val="28"/>
          <w:szCs w:val="28"/>
          <w:lang w:eastAsia="en-US"/>
        </w:rPr>
        <w:t>результаты через 35,45 суток от суток 0 забора образца, экспресс-тест OraQuick® выявлял положительные результаты через 36,55 суток от суток 0 забора образца. Маловероятно, что сутки 0 забора образца</w:t>
      </w:r>
      <w:r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000D69">
        <w:rPr>
          <w:rFonts w:ascii="Times New Roman" w:eastAsia="MyriadPro-LightCond" w:hAnsi="Times New Roman" w:cs="Times New Roman"/>
          <w:sz w:val="28"/>
          <w:szCs w:val="28"/>
          <w:lang w:eastAsia="en-US"/>
        </w:rPr>
        <w:t>были датой инфицирования ВИЧ. Задержка в сутках, представленная в таблице, показывает, что экспресс-тест OraQuick® сравним с зарегистрированными ИФА.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573"/>
        <w:gridCol w:w="1572"/>
        <w:gridCol w:w="1572"/>
        <w:gridCol w:w="1572"/>
        <w:gridCol w:w="992"/>
        <w:gridCol w:w="992"/>
        <w:gridCol w:w="1014"/>
      </w:tblGrid>
      <w:tr w:rsidR="00210EC1" w:rsidRPr="00210EC1" w14:paraId="5F719C6B" w14:textId="77777777" w:rsidTr="00210EC1">
        <w:trPr>
          <w:jc w:val="center"/>
        </w:trPr>
        <w:tc>
          <w:tcPr>
            <w:tcW w:w="1326" w:type="dxa"/>
          </w:tcPr>
          <w:p w14:paraId="5ED132D9" w14:textId="77777777" w:rsidR="00000D69" w:rsidRPr="00210EC1" w:rsidRDefault="00000D69" w:rsidP="00000D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210EC1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Количество сероконверсионных панелей</w:t>
            </w:r>
          </w:p>
        </w:tc>
        <w:tc>
          <w:tcPr>
            <w:tcW w:w="1327" w:type="dxa"/>
          </w:tcPr>
          <w:p w14:paraId="1A98884D" w14:textId="77777777" w:rsidR="00000D69" w:rsidRPr="00210EC1" w:rsidRDefault="00000D69" w:rsidP="00000D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210EC1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Количество согласованных результатов сероконверсионных панелей</w:t>
            </w:r>
          </w:p>
        </w:tc>
        <w:tc>
          <w:tcPr>
            <w:tcW w:w="1327" w:type="dxa"/>
          </w:tcPr>
          <w:p w14:paraId="68B1A0CD" w14:textId="77777777" w:rsidR="00000D69" w:rsidRPr="00210EC1" w:rsidRDefault="00000D69" w:rsidP="00000D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210EC1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Количество сероконверсионных панелей, выявленных ранее </w:t>
            </w:r>
            <w:r w:rsidR="00210EC1" w:rsidRPr="00210EC1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ИФА 3-го поколения</w:t>
            </w:r>
          </w:p>
        </w:tc>
        <w:tc>
          <w:tcPr>
            <w:tcW w:w="1326" w:type="dxa"/>
          </w:tcPr>
          <w:p w14:paraId="0172C679" w14:textId="77777777" w:rsidR="00000D69" w:rsidRPr="00210EC1" w:rsidRDefault="00000D69" w:rsidP="00000D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210EC1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Количество сероконверсионных панелей, выявленных ранее экспресс-тестом </w:t>
            </w:r>
            <w:r w:rsidRPr="00210EC1"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en-US" w:eastAsia="en-US"/>
              </w:rPr>
              <w:t>OraQuick</w:t>
            </w:r>
            <w:r w:rsidRPr="00210EC1">
              <w:rPr>
                <w:rFonts w:ascii="Times New Roman" w:eastAsiaTheme="minorHAnsi" w:hAnsi="Times New Roman" w:cs="Times New Roman"/>
                <w:b/>
                <w:sz w:val="18"/>
                <w:szCs w:val="18"/>
                <w:vertAlign w:val="superscript"/>
                <w:lang w:eastAsia="en-US"/>
              </w:rPr>
              <w:t>®</w:t>
            </w:r>
          </w:p>
        </w:tc>
        <w:tc>
          <w:tcPr>
            <w:tcW w:w="1327" w:type="dxa"/>
          </w:tcPr>
          <w:p w14:paraId="2B34B5F3" w14:textId="77777777" w:rsidR="00000D69" w:rsidRPr="00210EC1" w:rsidRDefault="00000D69" w:rsidP="00AC5D3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210EC1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Среднее количество суток, ИФА 3-го поколения</w:t>
            </w:r>
          </w:p>
        </w:tc>
        <w:tc>
          <w:tcPr>
            <w:tcW w:w="1327" w:type="dxa"/>
          </w:tcPr>
          <w:p w14:paraId="2034E247" w14:textId="77777777" w:rsidR="00000D69" w:rsidRPr="00210EC1" w:rsidRDefault="00000D69" w:rsidP="00AC5D3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210EC1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Среднее количество суток, экспресс-тест </w:t>
            </w:r>
            <w:r w:rsidRPr="00210EC1"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en-US" w:eastAsia="en-US"/>
              </w:rPr>
              <w:t>OraQuick</w:t>
            </w:r>
            <w:r w:rsidRPr="00210EC1">
              <w:rPr>
                <w:rFonts w:ascii="Times New Roman" w:eastAsiaTheme="minorHAnsi" w:hAnsi="Times New Roman" w:cs="Times New Roman"/>
                <w:b/>
                <w:sz w:val="18"/>
                <w:szCs w:val="18"/>
                <w:vertAlign w:val="superscript"/>
                <w:lang w:eastAsia="en-US"/>
              </w:rPr>
              <w:t>®</w:t>
            </w:r>
          </w:p>
        </w:tc>
        <w:tc>
          <w:tcPr>
            <w:tcW w:w="1327" w:type="dxa"/>
          </w:tcPr>
          <w:p w14:paraId="27D98936" w14:textId="77777777" w:rsidR="00000D69" w:rsidRPr="00210EC1" w:rsidRDefault="00210EC1" w:rsidP="00AC5D3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210EC1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Количество суток задержки (</w:t>
            </w:r>
            <w:r w:rsidRPr="00210EC1">
              <w:rPr>
                <w:rFonts w:ascii="Times New Roman" w:eastAsiaTheme="minorHAnsi" w:hAnsi="Times New Roman" w:cs="Times New Roman"/>
                <w:b/>
                <w:sz w:val="18"/>
                <w:szCs w:val="18"/>
                <w:lang w:val="en-US" w:eastAsia="en-US"/>
              </w:rPr>
              <w:t>OraQuick</w:t>
            </w:r>
            <w:r w:rsidRPr="00210EC1">
              <w:rPr>
                <w:rFonts w:ascii="Times New Roman" w:eastAsiaTheme="minorHAnsi" w:hAnsi="Times New Roman" w:cs="Times New Roman"/>
                <w:b/>
                <w:sz w:val="18"/>
                <w:szCs w:val="18"/>
                <w:vertAlign w:val="superscript"/>
                <w:lang w:eastAsia="en-US"/>
              </w:rPr>
              <w:t xml:space="preserve">® </w:t>
            </w:r>
            <w:r w:rsidRPr="00210EC1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ИФА 3-го поколения)</w:t>
            </w:r>
          </w:p>
        </w:tc>
      </w:tr>
      <w:tr w:rsidR="00210EC1" w:rsidRPr="00210EC1" w14:paraId="32426494" w14:textId="77777777" w:rsidTr="00210EC1">
        <w:trPr>
          <w:jc w:val="center"/>
        </w:trPr>
        <w:tc>
          <w:tcPr>
            <w:tcW w:w="1326" w:type="dxa"/>
          </w:tcPr>
          <w:p w14:paraId="248A951E" w14:textId="77777777" w:rsidR="00000D69" w:rsidRPr="00210EC1" w:rsidRDefault="00000D69" w:rsidP="00000D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10EC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327" w:type="dxa"/>
          </w:tcPr>
          <w:p w14:paraId="738772C4" w14:textId="77777777" w:rsidR="00000D69" w:rsidRPr="00210EC1" w:rsidRDefault="00000D69" w:rsidP="00000D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10EC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327" w:type="dxa"/>
          </w:tcPr>
          <w:p w14:paraId="2E4AC55C" w14:textId="77777777" w:rsidR="00000D69" w:rsidRPr="00210EC1" w:rsidRDefault="00210EC1" w:rsidP="00000D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10EC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326" w:type="dxa"/>
          </w:tcPr>
          <w:p w14:paraId="05823384" w14:textId="77777777" w:rsidR="00000D69" w:rsidRPr="00210EC1" w:rsidRDefault="00210EC1" w:rsidP="00000D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10EC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27" w:type="dxa"/>
          </w:tcPr>
          <w:p w14:paraId="6EFF014D" w14:textId="77777777" w:rsidR="00000D69" w:rsidRPr="00210EC1" w:rsidRDefault="00210EC1" w:rsidP="00000D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10EC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35,45</w:t>
            </w:r>
          </w:p>
        </w:tc>
        <w:tc>
          <w:tcPr>
            <w:tcW w:w="1327" w:type="dxa"/>
          </w:tcPr>
          <w:p w14:paraId="47E1E993" w14:textId="77777777" w:rsidR="00000D69" w:rsidRPr="00210EC1" w:rsidRDefault="00210EC1" w:rsidP="00000D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10EC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36,55</w:t>
            </w:r>
          </w:p>
        </w:tc>
        <w:tc>
          <w:tcPr>
            <w:tcW w:w="1327" w:type="dxa"/>
          </w:tcPr>
          <w:p w14:paraId="40CA76F5" w14:textId="77777777" w:rsidR="00000D69" w:rsidRPr="00210EC1" w:rsidRDefault="00210EC1" w:rsidP="00210EC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10EC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1,10     95% </w:t>
            </w:r>
            <w:r w:rsidRPr="00210EC1">
              <w:rPr>
                <w:rFonts w:ascii="Times New Roman" w:eastAsiaTheme="minorHAnsi" w:hAnsi="Times New Roman" w:cs="Times New Roman"/>
                <w:sz w:val="18"/>
                <w:szCs w:val="18"/>
                <w:lang w:val="en-US" w:eastAsia="en-US"/>
              </w:rPr>
              <w:t>C.I.</w:t>
            </w:r>
            <w:r w:rsidRPr="00210EC1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(-0,43 до 2,63)</w:t>
            </w:r>
          </w:p>
        </w:tc>
      </w:tr>
    </w:tbl>
    <w:p w14:paraId="381957DC" w14:textId="77777777" w:rsidR="00000D69" w:rsidRPr="00000D69" w:rsidRDefault="00000D69" w:rsidP="00000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F4C6172" w14:textId="77777777" w:rsidR="00210EC1" w:rsidRPr="00210EC1" w:rsidRDefault="00210EC1" w:rsidP="00210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10EC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ВЕЩЕСТВА, МЕШАЮЩИЕ АНАЛИЗУ, И СОСТОЯНИЯ, НЕ СВЯЗАННЫЕ С ИНФЕКЦИЕЙ</w:t>
      </w:r>
    </w:p>
    <w:p w14:paraId="70433A0A" w14:textId="77777777" w:rsidR="00210EC1" w:rsidRPr="00210EC1" w:rsidRDefault="00210EC1" w:rsidP="00210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210EC1">
        <w:rPr>
          <w:rFonts w:ascii="Times New Roman" w:eastAsia="MyriadPro-LightCond" w:hAnsi="Times New Roman" w:cs="Times New Roman"/>
          <w:sz w:val="28"/>
          <w:szCs w:val="28"/>
          <w:lang w:eastAsia="en-US"/>
        </w:rPr>
        <w:t>Для оценки степени влияния несвязанных медицинских состояний и мешающих веществ на специфичность тест-системы OraQuick® Rapid HIV-1/2 Antibody Test был протестирован 321 образец</w:t>
      </w:r>
      <w:r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210EC1">
        <w:rPr>
          <w:rFonts w:ascii="Times New Roman" w:eastAsia="MyriadPro-LightCond" w:hAnsi="Times New Roman" w:cs="Times New Roman"/>
          <w:sz w:val="28"/>
          <w:szCs w:val="28"/>
          <w:lang w:eastAsia="en-US"/>
        </w:rPr>
        <w:t>ыворотки/плазмы, взятой у пациентов с различными заболеваниями, не связанными с инфекцией ВИЧ, и 119 образцов, содержащих мешающие анализу вещества. Результаты данного исследования</w:t>
      </w:r>
      <w:r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210EC1">
        <w:rPr>
          <w:rFonts w:ascii="Times New Roman" w:eastAsia="MyriadPro-LightCond" w:hAnsi="Times New Roman" w:cs="Times New Roman"/>
          <w:sz w:val="28"/>
          <w:szCs w:val="28"/>
          <w:lang w:eastAsia="en-US"/>
        </w:rPr>
        <w:t>представлены в таблице ниже. Один образец, взятый у пациентов, достоверно инфицированных вирусом Эпштейна — Барр, вирусом гепатита В, страдающих ревматоидным фактором, один</w:t>
      </w:r>
      <w:r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210EC1">
        <w:rPr>
          <w:rFonts w:ascii="Times New Roman" w:eastAsia="MyriadPro-LightCond" w:hAnsi="Times New Roman" w:cs="Times New Roman"/>
          <w:sz w:val="28"/>
          <w:szCs w:val="28"/>
          <w:lang w:eastAsia="en-US"/>
        </w:rPr>
        <w:t>образец, взятый у многократно рожавшей женщины, и три образца, взятые у пациентов, достоверно инфицированных вирусом гепатита А, дали ложноположительные результаты.</w:t>
      </w:r>
    </w:p>
    <w:p w14:paraId="5E16737D" w14:textId="77777777" w:rsidR="003E1530" w:rsidRDefault="00210EC1" w:rsidP="00210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0EC1">
        <w:rPr>
          <w:rFonts w:ascii="Times New Roman" w:eastAsia="MyriadPro-LightCond" w:hAnsi="Times New Roman" w:cs="Times New Roman"/>
          <w:sz w:val="28"/>
          <w:szCs w:val="28"/>
          <w:lang w:eastAsia="en-US"/>
        </w:rPr>
        <w:t>Также было проведено дополнительное исследование для оценки возможного влияния антикоагулянтов на специфичность тест-системы. Венозная цельная кровь была получена у 24</w:t>
      </w:r>
      <w:r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210EC1">
        <w:rPr>
          <w:rFonts w:ascii="Times New Roman" w:eastAsia="MyriadPro-LightCond" w:hAnsi="Times New Roman" w:cs="Times New Roman"/>
          <w:sz w:val="28"/>
          <w:szCs w:val="28"/>
          <w:lang w:eastAsia="en-US"/>
        </w:rPr>
        <w:t>ВИЧ-отрицательных участников в три пробирки, содержащие один из следующих антикоагулянтов: ЭДТА, гепарин натрия и цитрат натрия. После этого образцы были поделены на равные порции и</w:t>
      </w:r>
      <w:r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210EC1">
        <w:rPr>
          <w:rFonts w:ascii="Times New Roman" w:eastAsia="MyriadPro-LightCond" w:hAnsi="Times New Roman" w:cs="Times New Roman"/>
          <w:sz w:val="28"/>
          <w:szCs w:val="28"/>
          <w:lang w:eastAsia="en-US"/>
        </w:rPr>
        <w:t>хранились в холодильнике (2–</w:t>
      </w:r>
      <w:r w:rsidRPr="00210EC1">
        <w:rPr>
          <w:rFonts w:ascii="Times New Roman" w:eastAsia="MyriadPro-LightCond" w:hAnsi="Times New Roman" w:cs="Times New Roman"/>
          <w:sz w:val="28"/>
          <w:szCs w:val="28"/>
          <w:lang w:eastAsia="en-US"/>
        </w:rPr>
        <w:lastRenderedPageBreak/>
        <w:t>8 ºC), при комнатной температуре (18 ºC) или при повышенных температурах (30–33ºC) и тестировались в течение 7 суток. Не наблюдалось специфических эффектов</w:t>
      </w:r>
      <w:r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210EC1">
        <w:rPr>
          <w:rFonts w:ascii="Times New Roman" w:eastAsia="MyriadPro-LightCond" w:hAnsi="Times New Roman" w:cs="Times New Roman"/>
          <w:sz w:val="28"/>
          <w:szCs w:val="28"/>
          <w:lang w:eastAsia="en-US"/>
        </w:rPr>
        <w:t>антикоагулянта на аналитическую способность тест-системы в образцах, хранившихся до 5 суток при температуре 2–30 ºC.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709"/>
        <w:gridCol w:w="567"/>
        <w:gridCol w:w="2977"/>
        <w:gridCol w:w="709"/>
        <w:gridCol w:w="815"/>
      </w:tblGrid>
      <w:tr w:rsidR="00210EC1" w:rsidRPr="00210EC1" w14:paraId="668245EB" w14:textId="77777777" w:rsidTr="00AC5D32">
        <w:tc>
          <w:tcPr>
            <w:tcW w:w="9287" w:type="dxa"/>
            <w:gridSpan w:val="6"/>
          </w:tcPr>
          <w:p w14:paraId="1E5964F1" w14:textId="77777777" w:rsidR="00210EC1" w:rsidRPr="00210EC1" w:rsidRDefault="00210EC1" w:rsidP="00210EC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210EC1">
              <w:rPr>
                <w:rFonts w:ascii="Times New Roman" w:eastAsiaTheme="minorHAnsi" w:hAnsi="Times New Roman" w:cs="Times New Roman"/>
                <w:b/>
                <w:lang w:eastAsia="en-US"/>
              </w:rPr>
              <w:t>Клинические состояния, приводящие к получению положительных результатов</w:t>
            </w:r>
          </w:p>
        </w:tc>
      </w:tr>
      <w:tr w:rsidR="00210EC1" w:rsidRPr="00210EC1" w14:paraId="466BE939" w14:textId="77777777" w:rsidTr="00210EC1">
        <w:tc>
          <w:tcPr>
            <w:tcW w:w="3510" w:type="dxa"/>
          </w:tcPr>
          <w:p w14:paraId="2EC13671" w14:textId="77777777" w:rsidR="00210EC1" w:rsidRPr="00210EC1" w:rsidRDefault="00210EC1" w:rsidP="00210EC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210EC1">
              <w:rPr>
                <w:rFonts w:ascii="Times New Roman" w:eastAsiaTheme="minorHAnsi" w:hAnsi="Times New Roman" w:cs="Times New Roman"/>
                <w:lang w:eastAsia="en-US"/>
              </w:rPr>
              <w:t xml:space="preserve">Состояние </w:t>
            </w:r>
          </w:p>
        </w:tc>
        <w:tc>
          <w:tcPr>
            <w:tcW w:w="709" w:type="dxa"/>
          </w:tcPr>
          <w:p w14:paraId="4552605F" w14:textId="77777777" w:rsidR="00210EC1" w:rsidRPr="00210EC1" w:rsidRDefault="00210EC1" w:rsidP="00210EC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val="en-US" w:eastAsia="en-US"/>
              </w:rPr>
            </w:pPr>
            <w:r w:rsidRPr="00210EC1">
              <w:rPr>
                <w:rFonts w:ascii="Times New Roman" w:eastAsiaTheme="minorHAnsi" w:hAnsi="Times New Roman" w:cs="Times New Roman"/>
                <w:lang w:val="en-US" w:eastAsia="en-US"/>
              </w:rPr>
              <w:t>R</w:t>
            </w:r>
          </w:p>
        </w:tc>
        <w:tc>
          <w:tcPr>
            <w:tcW w:w="567" w:type="dxa"/>
          </w:tcPr>
          <w:p w14:paraId="0447F5C1" w14:textId="77777777" w:rsidR="00210EC1" w:rsidRPr="00210EC1" w:rsidRDefault="00210EC1" w:rsidP="00210EC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val="en-US" w:eastAsia="en-US"/>
              </w:rPr>
            </w:pPr>
            <w:r w:rsidRPr="00210EC1">
              <w:rPr>
                <w:rFonts w:ascii="Times New Roman" w:eastAsiaTheme="minorHAnsi" w:hAnsi="Times New Roman" w:cs="Times New Roman"/>
                <w:lang w:val="en-US" w:eastAsia="en-US"/>
              </w:rPr>
              <w:t>NR</w:t>
            </w:r>
          </w:p>
        </w:tc>
        <w:tc>
          <w:tcPr>
            <w:tcW w:w="2977" w:type="dxa"/>
          </w:tcPr>
          <w:p w14:paraId="57ABAD67" w14:textId="77777777" w:rsidR="00210EC1" w:rsidRPr="00210EC1" w:rsidRDefault="00210EC1" w:rsidP="00210EC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210EC1">
              <w:rPr>
                <w:rFonts w:ascii="Times New Roman" w:eastAsiaTheme="minorHAnsi" w:hAnsi="Times New Roman" w:cs="Times New Roman"/>
                <w:lang w:eastAsia="en-US"/>
              </w:rPr>
              <w:t xml:space="preserve">Состояние </w:t>
            </w:r>
          </w:p>
        </w:tc>
        <w:tc>
          <w:tcPr>
            <w:tcW w:w="709" w:type="dxa"/>
          </w:tcPr>
          <w:p w14:paraId="70281C69" w14:textId="77777777" w:rsidR="00210EC1" w:rsidRPr="00210EC1" w:rsidRDefault="00210EC1" w:rsidP="00210EC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210EC1">
              <w:rPr>
                <w:rFonts w:ascii="Times New Roman" w:eastAsiaTheme="minorHAnsi" w:hAnsi="Times New Roman" w:cs="Times New Roman"/>
                <w:lang w:val="en-US" w:eastAsia="en-US"/>
              </w:rPr>
              <w:t>R</w:t>
            </w:r>
          </w:p>
        </w:tc>
        <w:tc>
          <w:tcPr>
            <w:tcW w:w="815" w:type="dxa"/>
          </w:tcPr>
          <w:p w14:paraId="4DD6D9BC" w14:textId="77777777" w:rsidR="00210EC1" w:rsidRPr="00210EC1" w:rsidRDefault="00210EC1" w:rsidP="00210EC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210EC1">
              <w:rPr>
                <w:rFonts w:ascii="Times New Roman" w:eastAsiaTheme="minorHAnsi" w:hAnsi="Times New Roman" w:cs="Times New Roman"/>
                <w:lang w:val="en-US" w:eastAsia="en-US"/>
              </w:rPr>
              <w:t>NR</w:t>
            </w:r>
          </w:p>
        </w:tc>
      </w:tr>
      <w:tr w:rsidR="00210EC1" w:rsidRPr="00210EC1" w14:paraId="356BF1D2" w14:textId="77777777" w:rsidTr="00210EC1">
        <w:tc>
          <w:tcPr>
            <w:tcW w:w="3510" w:type="dxa"/>
          </w:tcPr>
          <w:p w14:paraId="34DF0713" w14:textId="77777777" w:rsidR="00210EC1" w:rsidRPr="00210EC1" w:rsidRDefault="00210EC1" w:rsidP="00210EC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210EC1">
              <w:rPr>
                <w:rFonts w:ascii="Times New Roman" w:eastAsiaTheme="minorHAnsi" w:hAnsi="Times New Roman" w:cs="Times New Roman"/>
                <w:lang w:eastAsia="en-US"/>
              </w:rPr>
              <w:t>Многократно рожавшие женщины</w:t>
            </w:r>
          </w:p>
        </w:tc>
        <w:tc>
          <w:tcPr>
            <w:tcW w:w="709" w:type="dxa"/>
          </w:tcPr>
          <w:p w14:paraId="6B1F35CC" w14:textId="77777777" w:rsidR="00210EC1" w:rsidRPr="00210EC1" w:rsidRDefault="00210EC1" w:rsidP="00210EC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val="en-US" w:eastAsia="en-US"/>
              </w:rPr>
            </w:pPr>
            <w:r w:rsidRPr="00210EC1">
              <w:rPr>
                <w:rFonts w:ascii="Times New Roman" w:eastAsiaTheme="minorHAnsi" w:hAnsi="Times New Roman" w:cs="Times New Roman"/>
                <w:lang w:val="en-US" w:eastAsia="en-US"/>
              </w:rPr>
              <w:t>1</w:t>
            </w:r>
            <w:r w:rsidRPr="00210EC1">
              <w:rPr>
                <w:rFonts w:ascii="Times New Roman" w:eastAsiaTheme="minorHAnsi" w:hAnsi="Times New Roman" w:cs="Times New Roman"/>
                <w:vertAlign w:val="superscript"/>
                <w:lang w:val="en-US" w:eastAsia="en-US"/>
              </w:rPr>
              <w:t>2</w:t>
            </w:r>
          </w:p>
        </w:tc>
        <w:tc>
          <w:tcPr>
            <w:tcW w:w="567" w:type="dxa"/>
          </w:tcPr>
          <w:p w14:paraId="275FC168" w14:textId="77777777" w:rsidR="00210EC1" w:rsidRPr="00210EC1" w:rsidRDefault="00210EC1" w:rsidP="00210EC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val="en-US" w:eastAsia="en-US"/>
              </w:rPr>
            </w:pPr>
            <w:r w:rsidRPr="00210EC1">
              <w:rPr>
                <w:rFonts w:ascii="Times New Roman" w:eastAsiaTheme="minorHAnsi" w:hAnsi="Times New Roman" w:cs="Times New Roman"/>
                <w:lang w:val="en-US" w:eastAsia="en-US"/>
              </w:rPr>
              <w:t>14</w:t>
            </w:r>
          </w:p>
        </w:tc>
        <w:tc>
          <w:tcPr>
            <w:tcW w:w="2977" w:type="dxa"/>
          </w:tcPr>
          <w:p w14:paraId="1F8B74A5" w14:textId="77777777" w:rsidR="00210EC1" w:rsidRPr="00210EC1" w:rsidRDefault="00210EC1" w:rsidP="00210EC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210EC1">
              <w:rPr>
                <w:rFonts w:ascii="Times New Roman" w:eastAsiaTheme="minorHAnsi" w:hAnsi="Times New Roman" w:cs="Times New Roman"/>
                <w:lang w:eastAsia="en-US"/>
              </w:rPr>
              <w:t>Вирус гепатита А (ВГА)</w:t>
            </w:r>
          </w:p>
        </w:tc>
        <w:tc>
          <w:tcPr>
            <w:tcW w:w="709" w:type="dxa"/>
          </w:tcPr>
          <w:p w14:paraId="4406AAD1" w14:textId="77777777" w:rsidR="00210EC1" w:rsidRPr="00210EC1" w:rsidRDefault="00210EC1" w:rsidP="00210EC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210EC1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Pr="00210EC1"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  <w:t>1</w:t>
            </w:r>
          </w:p>
        </w:tc>
        <w:tc>
          <w:tcPr>
            <w:tcW w:w="815" w:type="dxa"/>
          </w:tcPr>
          <w:p w14:paraId="4ED3FBB3" w14:textId="77777777" w:rsidR="00210EC1" w:rsidRPr="00210EC1" w:rsidRDefault="00210EC1" w:rsidP="00210EC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210EC1">
              <w:rPr>
                <w:rFonts w:ascii="Times New Roman" w:eastAsiaTheme="minorHAnsi" w:hAnsi="Times New Roman" w:cs="Times New Roman"/>
                <w:lang w:eastAsia="en-US"/>
              </w:rPr>
              <w:t>17</w:t>
            </w:r>
          </w:p>
        </w:tc>
      </w:tr>
      <w:tr w:rsidR="00210EC1" w:rsidRPr="00210EC1" w14:paraId="6C398D6E" w14:textId="77777777" w:rsidTr="00210EC1">
        <w:tc>
          <w:tcPr>
            <w:tcW w:w="3510" w:type="dxa"/>
          </w:tcPr>
          <w:p w14:paraId="0928DF6E" w14:textId="77777777" w:rsidR="00210EC1" w:rsidRPr="00210EC1" w:rsidRDefault="00210EC1" w:rsidP="00210EC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210EC1">
              <w:rPr>
                <w:rFonts w:ascii="Times New Roman" w:eastAsiaTheme="minorHAnsi" w:hAnsi="Times New Roman" w:cs="Times New Roman"/>
                <w:lang w:eastAsia="en-US"/>
              </w:rPr>
              <w:t>Ревматоидный фактор</w:t>
            </w:r>
          </w:p>
        </w:tc>
        <w:tc>
          <w:tcPr>
            <w:tcW w:w="709" w:type="dxa"/>
          </w:tcPr>
          <w:p w14:paraId="00104626" w14:textId="77777777" w:rsidR="00210EC1" w:rsidRPr="00210EC1" w:rsidRDefault="00210EC1">
            <w:r w:rsidRPr="00210EC1">
              <w:rPr>
                <w:rFonts w:ascii="Times New Roman" w:eastAsiaTheme="minorHAnsi" w:hAnsi="Times New Roman" w:cs="Times New Roman"/>
                <w:lang w:val="en-US" w:eastAsia="en-US"/>
              </w:rPr>
              <w:t>1</w:t>
            </w:r>
            <w:r w:rsidRPr="00210EC1">
              <w:rPr>
                <w:rFonts w:ascii="Times New Roman" w:eastAsiaTheme="minorHAnsi" w:hAnsi="Times New Roman" w:cs="Times New Roman"/>
                <w:vertAlign w:val="superscript"/>
                <w:lang w:val="en-US" w:eastAsia="en-US"/>
              </w:rPr>
              <w:t>2</w:t>
            </w:r>
          </w:p>
        </w:tc>
        <w:tc>
          <w:tcPr>
            <w:tcW w:w="567" w:type="dxa"/>
          </w:tcPr>
          <w:p w14:paraId="0B5FC25A" w14:textId="77777777" w:rsidR="00210EC1" w:rsidRPr="00210EC1" w:rsidRDefault="00210EC1" w:rsidP="00210EC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val="en-US" w:eastAsia="en-US"/>
              </w:rPr>
            </w:pPr>
            <w:r w:rsidRPr="00210EC1">
              <w:rPr>
                <w:rFonts w:ascii="Times New Roman" w:eastAsiaTheme="minorHAnsi" w:hAnsi="Times New Roman" w:cs="Times New Roman"/>
                <w:lang w:val="en-US" w:eastAsia="en-US"/>
              </w:rPr>
              <w:t>17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3AFA00E" w14:textId="77777777" w:rsidR="00210EC1" w:rsidRPr="00210EC1" w:rsidRDefault="00210EC1" w:rsidP="00210EC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210EC1">
              <w:rPr>
                <w:rFonts w:ascii="Times New Roman" w:eastAsiaTheme="minorHAnsi" w:hAnsi="Times New Roman" w:cs="Times New Roman"/>
                <w:lang w:eastAsia="en-US"/>
              </w:rPr>
              <w:t>Вирус гепатита В (ВГВ)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9C2AC6" w14:textId="77777777" w:rsidR="00210EC1" w:rsidRPr="00210EC1" w:rsidRDefault="00210EC1" w:rsidP="00210EC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210EC1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0921AEBF" w14:textId="77777777" w:rsidR="00210EC1" w:rsidRPr="00210EC1" w:rsidRDefault="00210EC1" w:rsidP="00210EC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210EC1">
              <w:rPr>
                <w:rFonts w:ascii="Times New Roman" w:eastAsiaTheme="minorHAnsi" w:hAnsi="Times New Roman" w:cs="Times New Roman"/>
                <w:lang w:eastAsia="en-US"/>
              </w:rPr>
              <w:t>16</w:t>
            </w:r>
          </w:p>
        </w:tc>
      </w:tr>
      <w:tr w:rsidR="00210EC1" w:rsidRPr="00210EC1" w14:paraId="04743954" w14:textId="77777777" w:rsidTr="00210EC1">
        <w:tc>
          <w:tcPr>
            <w:tcW w:w="3510" w:type="dxa"/>
          </w:tcPr>
          <w:p w14:paraId="76F3B011" w14:textId="77777777" w:rsidR="00210EC1" w:rsidRPr="00210EC1" w:rsidRDefault="00210EC1" w:rsidP="00210EC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210EC1">
              <w:rPr>
                <w:rFonts w:ascii="Times New Roman" w:eastAsiaTheme="minorHAnsi" w:hAnsi="Times New Roman" w:cs="Times New Roman"/>
                <w:lang w:eastAsia="en-US"/>
              </w:rPr>
              <w:t>Вирус Эпштейна – Барр (ЭБВ)</w:t>
            </w:r>
          </w:p>
        </w:tc>
        <w:tc>
          <w:tcPr>
            <w:tcW w:w="709" w:type="dxa"/>
          </w:tcPr>
          <w:p w14:paraId="7DB666CC" w14:textId="77777777" w:rsidR="00210EC1" w:rsidRPr="00210EC1" w:rsidRDefault="00210EC1">
            <w:r w:rsidRPr="00210EC1">
              <w:rPr>
                <w:rFonts w:ascii="Times New Roman" w:eastAsiaTheme="minorHAnsi" w:hAnsi="Times New Roman" w:cs="Times New Roman"/>
                <w:lang w:val="en-US" w:eastAsia="en-US"/>
              </w:rPr>
              <w:t>1</w:t>
            </w:r>
            <w:r w:rsidRPr="00210EC1">
              <w:rPr>
                <w:rFonts w:ascii="Times New Roman" w:eastAsiaTheme="minorHAnsi" w:hAnsi="Times New Roman" w:cs="Times New Roman"/>
                <w:vertAlign w:val="superscript"/>
                <w:lang w:val="en-US" w:eastAsia="en-US"/>
              </w:rPr>
              <w:t>2</w:t>
            </w:r>
          </w:p>
        </w:tc>
        <w:tc>
          <w:tcPr>
            <w:tcW w:w="567" w:type="dxa"/>
          </w:tcPr>
          <w:p w14:paraId="59928C3B" w14:textId="77777777" w:rsidR="00210EC1" w:rsidRPr="00210EC1" w:rsidRDefault="00210EC1" w:rsidP="00210EC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val="en-US" w:eastAsia="en-US"/>
              </w:rPr>
            </w:pPr>
            <w:r w:rsidRPr="00210EC1">
              <w:rPr>
                <w:rFonts w:ascii="Times New Roman" w:eastAsiaTheme="minorHAnsi" w:hAnsi="Times New Roman" w:cs="Times New Roman"/>
                <w:lang w:val="en-US" w:eastAsia="en-US"/>
              </w:rPr>
              <w:t>14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61A9177" w14:textId="77777777" w:rsidR="00210EC1" w:rsidRPr="00210EC1" w:rsidRDefault="00210EC1" w:rsidP="00210EC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highlight w:val="lightGray"/>
                <w:lang w:eastAsia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44B80DC" w14:textId="77777777" w:rsidR="00210EC1" w:rsidRPr="00210EC1" w:rsidRDefault="00210EC1" w:rsidP="00210EC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highlight w:val="lightGray"/>
                <w:lang w:eastAsia="en-US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7F9B50B5" w14:textId="77777777" w:rsidR="00210EC1" w:rsidRPr="00210EC1" w:rsidRDefault="00210EC1" w:rsidP="00210EC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highlight w:val="lightGray"/>
                <w:lang w:eastAsia="en-US"/>
              </w:rPr>
            </w:pPr>
          </w:p>
        </w:tc>
      </w:tr>
    </w:tbl>
    <w:p w14:paraId="79C7EB82" w14:textId="77777777" w:rsidR="00210EC1" w:rsidRDefault="00210EC1" w:rsidP="00210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E34355" w:rsidRPr="00E34355" w14:paraId="511BBCE1" w14:textId="77777777" w:rsidTr="00AC5D32">
        <w:tc>
          <w:tcPr>
            <w:tcW w:w="9287" w:type="dxa"/>
            <w:gridSpan w:val="3"/>
          </w:tcPr>
          <w:p w14:paraId="05A2C993" w14:textId="77777777" w:rsidR="00E34355" w:rsidRPr="00E34355" w:rsidRDefault="00E34355" w:rsidP="00E3435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E34355">
              <w:rPr>
                <w:rFonts w:ascii="Times New Roman" w:eastAsiaTheme="minorHAnsi" w:hAnsi="Times New Roman" w:cs="Times New Roman"/>
                <w:b/>
                <w:lang w:eastAsia="en-US"/>
              </w:rPr>
              <w:t>Клинические состояния, приводящие к получению отрицательных результатов</w:t>
            </w:r>
          </w:p>
        </w:tc>
      </w:tr>
      <w:tr w:rsidR="00210EC1" w:rsidRPr="00E34355" w14:paraId="7DADD5A0" w14:textId="77777777" w:rsidTr="00210EC1">
        <w:tc>
          <w:tcPr>
            <w:tcW w:w="3095" w:type="dxa"/>
          </w:tcPr>
          <w:p w14:paraId="3029F196" w14:textId="77777777" w:rsidR="00210EC1" w:rsidRPr="00E34355" w:rsidRDefault="00E34355" w:rsidP="00210EC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E34355">
              <w:rPr>
                <w:rFonts w:ascii="Times New Roman" w:eastAsia="MyriadPro-LightCond" w:hAnsi="Times New Roman" w:cs="Times New Roman"/>
                <w:lang w:eastAsia="en-US"/>
              </w:rPr>
              <w:t>Антиядерное антитело (ANA), n = 17</w:t>
            </w:r>
          </w:p>
        </w:tc>
        <w:tc>
          <w:tcPr>
            <w:tcW w:w="3096" w:type="dxa"/>
          </w:tcPr>
          <w:p w14:paraId="5425C5E8" w14:textId="77777777" w:rsidR="00210EC1" w:rsidRPr="00E34355" w:rsidRDefault="00E34355" w:rsidP="00E3435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E34355">
              <w:rPr>
                <w:rFonts w:ascii="Times New Roman" w:eastAsia="MyriadPro-LightCond" w:hAnsi="Times New Roman" w:cs="Times New Roman"/>
                <w:lang w:eastAsia="en-US"/>
              </w:rPr>
              <w:t xml:space="preserve">Волчанка, n = 15 </w:t>
            </w:r>
          </w:p>
        </w:tc>
        <w:tc>
          <w:tcPr>
            <w:tcW w:w="3096" w:type="dxa"/>
          </w:tcPr>
          <w:p w14:paraId="48263AE2" w14:textId="77777777" w:rsidR="00210EC1" w:rsidRPr="00E34355" w:rsidRDefault="00E34355" w:rsidP="00210EC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E34355">
              <w:rPr>
                <w:rFonts w:ascii="Times New Roman" w:eastAsia="MyriadPro-LightCond" w:hAnsi="Times New Roman" w:cs="Times New Roman"/>
                <w:lang w:eastAsia="en-US"/>
              </w:rPr>
              <w:t>Множественные гемотрансфузии, n = 10</w:t>
            </w:r>
          </w:p>
        </w:tc>
      </w:tr>
      <w:tr w:rsidR="00210EC1" w:rsidRPr="00E34355" w14:paraId="5CA634CC" w14:textId="77777777" w:rsidTr="00210EC1">
        <w:tc>
          <w:tcPr>
            <w:tcW w:w="3095" w:type="dxa"/>
          </w:tcPr>
          <w:p w14:paraId="10E9600D" w14:textId="77777777" w:rsidR="00210EC1" w:rsidRPr="00E34355" w:rsidRDefault="00E34355" w:rsidP="00210EC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E34355">
              <w:rPr>
                <w:rFonts w:ascii="Times New Roman" w:eastAsia="MyriadPro-LightCond" w:hAnsi="Times New Roman" w:cs="Times New Roman"/>
                <w:lang w:eastAsia="en-US"/>
              </w:rPr>
              <w:t>Цитомегаловирус (ЦМВ), n = 15</w:t>
            </w:r>
          </w:p>
        </w:tc>
        <w:tc>
          <w:tcPr>
            <w:tcW w:w="3096" w:type="dxa"/>
          </w:tcPr>
          <w:p w14:paraId="64168F30" w14:textId="77777777" w:rsidR="00210EC1" w:rsidRPr="00E34355" w:rsidRDefault="00E34355" w:rsidP="00E3435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E34355">
              <w:rPr>
                <w:rFonts w:ascii="Times New Roman" w:eastAsia="MyriadPro-LightCond" w:hAnsi="Times New Roman" w:cs="Times New Roman"/>
                <w:lang w:eastAsia="en-US"/>
              </w:rPr>
              <w:t xml:space="preserve">Коревая краснуха, n = 15 </w:t>
            </w:r>
          </w:p>
        </w:tc>
        <w:tc>
          <w:tcPr>
            <w:tcW w:w="3096" w:type="dxa"/>
          </w:tcPr>
          <w:p w14:paraId="508014AE" w14:textId="77777777" w:rsidR="00210EC1" w:rsidRPr="00E34355" w:rsidRDefault="00E34355" w:rsidP="00210EC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E34355">
              <w:rPr>
                <w:rFonts w:ascii="Times New Roman" w:eastAsia="MyriadPro-LightCond" w:hAnsi="Times New Roman" w:cs="Times New Roman"/>
                <w:lang w:eastAsia="en-US"/>
              </w:rPr>
              <w:t>Вирус простого герпеса, n = 5</w:t>
            </w:r>
          </w:p>
        </w:tc>
      </w:tr>
      <w:tr w:rsidR="00210EC1" w:rsidRPr="00E34355" w14:paraId="4D4B85A2" w14:textId="77777777" w:rsidTr="00210EC1">
        <w:tc>
          <w:tcPr>
            <w:tcW w:w="3095" w:type="dxa"/>
          </w:tcPr>
          <w:p w14:paraId="6F444AED" w14:textId="77777777" w:rsidR="00210EC1" w:rsidRPr="00E34355" w:rsidRDefault="00E34355" w:rsidP="00210EC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E34355">
              <w:rPr>
                <w:rFonts w:ascii="Times New Roman" w:eastAsia="MyriadPro-LightCond" w:hAnsi="Times New Roman" w:cs="Times New Roman"/>
                <w:lang w:eastAsia="en-US"/>
              </w:rPr>
              <w:t>Вирус гепатита C (ВГС), n = 15</w:t>
            </w:r>
          </w:p>
        </w:tc>
        <w:tc>
          <w:tcPr>
            <w:tcW w:w="3096" w:type="dxa"/>
          </w:tcPr>
          <w:p w14:paraId="29FB579E" w14:textId="77777777" w:rsidR="00210EC1" w:rsidRPr="00E34355" w:rsidRDefault="00E34355" w:rsidP="00E3435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E34355">
              <w:rPr>
                <w:rFonts w:ascii="Times New Roman" w:eastAsia="MyriadPro-LightCond" w:hAnsi="Times New Roman" w:cs="Times New Roman"/>
                <w:lang w:eastAsia="en-US"/>
              </w:rPr>
              <w:t xml:space="preserve">Сифилис, n = 15 </w:t>
            </w:r>
          </w:p>
        </w:tc>
        <w:tc>
          <w:tcPr>
            <w:tcW w:w="3096" w:type="dxa"/>
          </w:tcPr>
          <w:p w14:paraId="2A5D0312" w14:textId="77777777" w:rsidR="00210EC1" w:rsidRPr="00E34355" w:rsidRDefault="00E34355" w:rsidP="00210EC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E34355">
              <w:rPr>
                <w:rFonts w:ascii="Times New Roman" w:eastAsia="MyriadPro-LightCond" w:hAnsi="Times New Roman" w:cs="Times New Roman"/>
                <w:lang w:eastAsia="en-US"/>
              </w:rPr>
              <w:t>Пациенты, получающие диализ, n = 4</w:t>
            </w:r>
          </w:p>
        </w:tc>
      </w:tr>
      <w:tr w:rsidR="00210EC1" w:rsidRPr="00E34355" w14:paraId="1702BA67" w14:textId="77777777" w:rsidTr="00210EC1">
        <w:tc>
          <w:tcPr>
            <w:tcW w:w="3095" w:type="dxa"/>
          </w:tcPr>
          <w:p w14:paraId="65526540" w14:textId="77777777" w:rsidR="00210EC1" w:rsidRPr="00E34355" w:rsidRDefault="00E34355" w:rsidP="00210EC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E34355">
              <w:rPr>
                <w:rFonts w:ascii="Times New Roman" w:eastAsia="MyriadPro-LightCond" w:hAnsi="Times New Roman" w:cs="Times New Roman"/>
                <w:lang w:eastAsia="en-US"/>
              </w:rPr>
              <w:t>Лимфотропный Т-клеточный вирус человека, тип I (HTLV-I), n = 15</w:t>
            </w:r>
          </w:p>
        </w:tc>
        <w:tc>
          <w:tcPr>
            <w:tcW w:w="3096" w:type="dxa"/>
          </w:tcPr>
          <w:p w14:paraId="25033A71" w14:textId="77777777" w:rsidR="00210EC1" w:rsidRPr="00E34355" w:rsidRDefault="00E34355" w:rsidP="00E3435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E34355">
              <w:rPr>
                <w:rFonts w:ascii="Times New Roman" w:eastAsia="MyriadPro-LightCond" w:hAnsi="Times New Roman" w:cs="Times New Roman"/>
                <w:lang w:eastAsia="en-US"/>
              </w:rPr>
              <w:t xml:space="preserve">Грипп, n = 10 </w:t>
            </w:r>
          </w:p>
        </w:tc>
        <w:tc>
          <w:tcPr>
            <w:tcW w:w="3096" w:type="dxa"/>
          </w:tcPr>
          <w:p w14:paraId="07E5D400" w14:textId="77777777" w:rsidR="00210EC1" w:rsidRPr="00E34355" w:rsidRDefault="00E34355" w:rsidP="00210EC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E34355">
              <w:rPr>
                <w:rFonts w:ascii="Times New Roman" w:eastAsia="MyriadPro-LightCond" w:hAnsi="Times New Roman" w:cs="Times New Roman"/>
                <w:lang w:eastAsia="en-US"/>
              </w:rPr>
              <w:t>Антитела к топоизомеразе-I или рибонуклеопротеину, n = 3</w:t>
            </w:r>
          </w:p>
        </w:tc>
      </w:tr>
      <w:tr w:rsidR="00E34355" w:rsidRPr="00E34355" w14:paraId="201EFEC4" w14:textId="77777777" w:rsidTr="00AC5D32">
        <w:tc>
          <w:tcPr>
            <w:tcW w:w="3095" w:type="dxa"/>
          </w:tcPr>
          <w:p w14:paraId="5EB5AFF2" w14:textId="77777777" w:rsidR="00E34355" w:rsidRPr="00E34355" w:rsidRDefault="00E34355" w:rsidP="00AC5D32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lang w:eastAsia="en-US"/>
              </w:rPr>
            </w:pPr>
            <w:r w:rsidRPr="00E34355">
              <w:rPr>
                <w:rFonts w:ascii="Times New Roman" w:eastAsia="MyriadPro-LightCond" w:hAnsi="Times New Roman" w:cs="Times New Roman"/>
                <w:lang w:eastAsia="en-US"/>
              </w:rPr>
              <w:t>Лимфотропный Т-клеточный вирус человека, тип II (HTLV-II), n = 15</w:t>
            </w:r>
          </w:p>
        </w:tc>
        <w:tc>
          <w:tcPr>
            <w:tcW w:w="3096" w:type="dxa"/>
          </w:tcPr>
          <w:p w14:paraId="7B2BCF65" w14:textId="77777777" w:rsidR="00E34355" w:rsidRPr="00E34355" w:rsidRDefault="00E34355" w:rsidP="00E34355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lang w:eastAsia="en-US"/>
              </w:rPr>
            </w:pPr>
            <w:r w:rsidRPr="00E34355">
              <w:rPr>
                <w:rFonts w:ascii="Times New Roman" w:eastAsia="MyriadPro-LightCond" w:hAnsi="Times New Roman" w:cs="Times New Roman"/>
                <w:lang w:eastAsia="en-US"/>
              </w:rPr>
              <w:t xml:space="preserve">Гемофилия, n = 10 </w:t>
            </w:r>
          </w:p>
        </w:tc>
        <w:tc>
          <w:tcPr>
            <w:tcW w:w="3096" w:type="dxa"/>
          </w:tcPr>
          <w:p w14:paraId="5AC058E4" w14:textId="77777777" w:rsidR="00E34355" w:rsidRPr="00E34355" w:rsidRDefault="00E34355" w:rsidP="00AC5D32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lang w:eastAsia="en-US"/>
              </w:rPr>
            </w:pPr>
            <w:r w:rsidRPr="00E34355">
              <w:rPr>
                <w:rFonts w:ascii="Times New Roman" w:eastAsia="MyriadPro-LightCond" w:hAnsi="Times New Roman" w:cs="Times New Roman"/>
                <w:lang w:eastAsia="en-US"/>
              </w:rPr>
              <w:t>Рак молочной железы, n = 1</w:t>
            </w:r>
          </w:p>
        </w:tc>
      </w:tr>
      <w:tr w:rsidR="00E34355" w:rsidRPr="00E34355" w14:paraId="7DC0F1A2" w14:textId="77777777" w:rsidTr="00AC5D32">
        <w:tc>
          <w:tcPr>
            <w:tcW w:w="3095" w:type="dxa"/>
          </w:tcPr>
          <w:p w14:paraId="60207A2C" w14:textId="77777777" w:rsidR="00E34355" w:rsidRPr="00E34355" w:rsidRDefault="00E34355" w:rsidP="00E34355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lang w:eastAsia="en-US"/>
              </w:rPr>
            </w:pPr>
            <w:r w:rsidRPr="00E34355">
              <w:rPr>
                <w:rFonts w:ascii="Times New Roman" w:eastAsia="MyriadPro-LightCond" w:hAnsi="Times New Roman" w:cs="Times New Roman"/>
                <w:lang w:eastAsia="en-US"/>
              </w:rPr>
              <w:t xml:space="preserve">Гаммопатии IgG, n = 13 </w:t>
            </w:r>
          </w:p>
        </w:tc>
        <w:tc>
          <w:tcPr>
            <w:tcW w:w="3096" w:type="dxa"/>
          </w:tcPr>
          <w:p w14:paraId="58FBC313" w14:textId="77777777" w:rsidR="00E34355" w:rsidRPr="00E34355" w:rsidRDefault="00E34355" w:rsidP="00AC5D32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lang w:eastAsia="en-US"/>
              </w:rPr>
            </w:pPr>
            <w:r w:rsidRPr="00E34355">
              <w:rPr>
                <w:rFonts w:ascii="Times New Roman" w:eastAsia="MyriadPro-LightCond" w:hAnsi="Times New Roman" w:cs="Times New Roman"/>
                <w:lang w:eastAsia="en-US"/>
              </w:rPr>
              <w:t>Цирроз, n = 5</w:t>
            </w:r>
          </w:p>
        </w:tc>
        <w:tc>
          <w:tcPr>
            <w:tcW w:w="3096" w:type="dxa"/>
          </w:tcPr>
          <w:p w14:paraId="4D77889E" w14:textId="77777777" w:rsidR="00E34355" w:rsidRPr="00E34355" w:rsidRDefault="00E34355" w:rsidP="00AC5D32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lang w:eastAsia="en-US"/>
              </w:rPr>
            </w:pPr>
            <w:r w:rsidRPr="00E34355">
              <w:rPr>
                <w:rFonts w:ascii="Times New Roman" w:eastAsia="MyriadPro-LightCond" w:hAnsi="Times New Roman" w:cs="Times New Roman"/>
                <w:lang w:eastAsia="en-US"/>
              </w:rPr>
              <w:t>Антитела к ДНК, n = 1</w:t>
            </w:r>
          </w:p>
        </w:tc>
      </w:tr>
      <w:tr w:rsidR="00E34355" w:rsidRPr="00E34355" w14:paraId="59E3CA08" w14:textId="77777777" w:rsidTr="00E34355">
        <w:tc>
          <w:tcPr>
            <w:tcW w:w="3095" w:type="dxa"/>
          </w:tcPr>
          <w:p w14:paraId="6E02C4B1" w14:textId="77777777" w:rsidR="00E34355" w:rsidRPr="00E34355" w:rsidRDefault="00E34355" w:rsidP="00E34355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lang w:eastAsia="en-US"/>
              </w:rPr>
            </w:pPr>
            <w:r w:rsidRPr="00E34355">
              <w:rPr>
                <w:rFonts w:ascii="Times New Roman" w:eastAsia="MyriadPro-LightCond" w:hAnsi="Times New Roman" w:cs="Times New Roman"/>
                <w:lang w:eastAsia="en-US"/>
              </w:rPr>
              <w:t xml:space="preserve">Гаммопатии IgM, n = 12 </w:t>
            </w:r>
          </w:p>
        </w:tc>
        <w:tc>
          <w:tcPr>
            <w:tcW w:w="3096" w:type="dxa"/>
          </w:tcPr>
          <w:p w14:paraId="7B40A96B" w14:textId="77777777" w:rsidR="00E34355" w:rsidRPr="00E34355" w:rsidRDefault="00E34355" w:rsidP="00AC5D32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lang w:eastAsia="en-US"/>
              </w:rPr>
            </w:pPr>
            <w:r w:rsidRPr="00E34355">
              <w:rPr>
                <w:rFonts w:ascii="Times New Roman" w:eastAsia="MyriadPro-LightCond" w:hAnsi="Times New Roman" w:cs="Times New Roman"/>
                <w:lang w:eastAsia="en-US"/>
              </w:rPr>
              <w:t>Рак толстого кишечника, n = 4</w:t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7AB05618" w14:textId="77777777" w:rsidR="00E34355" w:rsidRPr="00E34355" w:rsidRDefault="00E34355" w:rsidP="00AC5D32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lang w:eastAsia="en-US"/>
              </w:rPr>
            </w:pPr>
            <w:r w:rsidRPr="00E34355">
              <w:rPr>
                <w:rFonts w:ascii="Times New Roman" w:eastAsia="MyriadPro-LightCond" w:hAnsi="Times New Roman" w:cs="Times New Roman"/>
                <w:lang w:eastAsia="en-US"/>
              </w:rPr>
              <w:t>Гонорея, n = 1</w:t>
            </w:r>
          </w:p>
        </w:tc>
      </w:tr>
      <w:tr w:rsidR="00E34355" w:rsidRPr="00E34355" w14:paraId="318B562E" w14:textId="77777777" w:rsidTr="00E34355">
        <w:tc>
          <w:tcPr>
            <w:tcW w:w="3095" w:type="dxa"/>
          </w:tcPr>
          <w:p w14:paraId="12CA83BA" w14:textId="77777777" w:rsidR="00E34355" w:rsidRPr="00E34355" w:rsidRDefault="00E34355" w:rsidP="00E34355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lang w:eastAsia="en-US"/>
              </w:rPr>
            </w:pPr>
            <w:r w:rsidRPr="00E34355">
              <w:rPr>
                <w:rFonts w:ascii="Times New Roman" w:eastAsia="MyriadPro-LightCond" w:hAnsi="Times New Roman" w:cs="Times New Roman"/>
                <w:lang w:eastAsia="en-US"/>
              </w:rPr>
              <w:t xml:space="preserve">Токсоплазмоз, n = 15 </w:t>
            </w:r>
          </w:p>
        </w:tc>
        <w:tc>
          <w:tcPr>
            <w:tcW w:w="3096" w:type="dxa"/>
          </w:tcPr>
          <w:p w14:paraId="7E2C42D8" w14:textId="77777777" w:rsidR="00E34355" w:rsidRPr="00E34355" w:rsidRDefault="00E34355" w:rsidP="00AC5D32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lang w:eastAsia="en-US"/>
              </w:rPr>
            </w:pPr>
            <w:r w:rsidRPr="00E34355">
              <w:rPr>
                <w:rFonts w:ascii="Times New Roman" w:eastAsia="MyriadPro-LightCond" w:hAnsi="Times New Roman" w:cs="Times New Roman"/>
                <w:lang w:eastAsia="en-US"/>
              </w:rPr>
              <w:t>HTLV I/II, n = 2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14:paraId="030D553A" w14:textId="77777777" w:rsidR="00E34355" w:rsidRPr="00E34355" w:rsidRDefault="00E34355" w:rsidP="00AC5D32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highlight w:val="lightGray"/>
                <w:lang w:eastAsia="en-US"/>
              </w:rPr>
            </w:pPr>
          </w:p>
        </w:tc>
      </w:tr>
      <w:tr w:rsidR="00E34355" w:rsidRPr="00E34355" w14:paraId="316F2A59" w14:textId="77777777" w:rsidTr="00E34355">
        <w:tc>
          <w:tcPr>
            <w:tcW w:w="3095" w:type="dxa"/>
          </w:tcPr>
          <w:p w14:paraId="497600D3" w14:textId="77777777" w:rsidR="00E34355" w:rsidRPr="00E34355" w:rsidRDefault="00E34355" w:rsidP="00E34355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lang w:eastAsia="en-US"/>
              </w:rPr>
            </w:pPr>
            <w:r w:rsidRPr="00E34355">
              <w:rPr>
                <w:rFonts w:ascii="Times New Roman" w:eastAsia="MyriadPro-LightCond" w:hAnsi="Times New Roman" w:cs="Times New Roman"/>
                <w:lang w:eastAsia="en-US"/>
              </w:rPr>
              <w:t xml:space="preserve">Туберкулез, n = 15 </w:t>
            </w:r>
          </w:p>
        </w:tc>
        <w:tc>
          <w:tcPr>
            <w:tcW w:w="3096" w:type="dxa"/>
          </w:tcPr>
          <w:p w14:paraId="4F0A6E86" w14:textId="77777777" w:rsidR="00E34355" w:rsidRPr="00E34355" w:rsidRDefault="00E34355" w:rsidP="00AC5D32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lang w:eastAsia="en-US"/>
              </w:rPr>
            </w:pPr>
            <w:r w:rsidRPr="00E34355">
              <w:rPr>
                <w:rFonts w:ascii="Times New Roman" w:eastAsia="MyriadPro-LightCond" w:hAnsi="Times New Roman" w:cs="Times New Roman"/>
                <w:lang w:eastAsia="en-US"/>
              </w:rPr>
              <w:t>Хламидия, n = 3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14:paraId="5E3EFCA5" w14:textId="77777777" w:rsidR="00E34355" w:rsidRPr="00E34355" w:rsidRDefault="00E34355" w:rsidP="00AC5D32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highlight w:val="lightGray"/>
                <w:lang w:eastAsia="en-US"/>
              </w:rPr>
            </w:pPr>
          </w:p>
        </w:tc>
      </w:tr>
      <w:tr w:rsidR="00E34355" w:rsidRPr="00E34355" w14:paraId="0B8B7B7E" w14:textId="77777777" w:rsidTr="00AC5D32">
        <w:tc>
          <w:tcPr>
            <w:tcW w:w="9287" w:type="dxa"/>
            <w:gridSpan w:val="3"/>
          </w:tcPr>
          <w:p w14:paraId="10B85B19" w14:textId="77777777" w:rsidR="00E34355" w:rsidRPr="00E34355" w:rsidRDefault="00E34355" w:rsidP="00E34355">
            <w:pPr>
              <w:autoSpaceDE w:val="0"/>
              <w:autoSpaceDN w:val="0"/>
              <w:adjustRightInd w:val="0"/>
              <w:jc w:val="center"/>
              <w:rPr>
                <w:rFonts w:ascii="Times New Roman" w:eastAsia="MyriadPro-LightCond" w:hAnsi="Times New Roman" w:cs="Times New Roman"/>
                <w:b/>
                <w:lang w:eastAsia="en-US"/>
              </w:rPr>
            </w:pPr>
            <w:r w:rsidRPr="00E34355">
              <w:rPr>
                <w:rFonts w:ascii="Times New Roman" w:eastAsia="MyriadPro-LightCond" w:hAnsi="Times New Roman" w:cs="Times New Roman"/>
                <w:b/>
                <w:lang w:eastAsia="en-US"/>
              </w:rPr>
              <w:t>Мешающие вещества, приводящие к получению отрицательных результатов</w:t>
            </w:r>
          </w:p>
        </w:tc>
      </w:tr>
      <w:tr w:rsidR="00E34355" w:rsidRPr="00E34355" w14:paraId="76D5842B" w14:textId="77777777" w:rsidTr="00AC5D32">
        <w:tc>
          <w:tcPr>
            <w:tcW w:w="3095" w:type="dxa"/>
          </w:tcPr>
          <w:p w14:paraId="010D471A" w14:textId="77777777" w:rsidR="00E34355" w:rsidRPr="00E34355" w:rsidRDefault="00E34355" w:rsidP="00E34355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lang w:eastAsia="en-US"/>
              </w:rPr>
            </w:pPr>
            <w:r w:rsidRPr="00E34355">
              <w:rPr>
                <w:rFonts w:ascii="Times New Roman" w:eastAsia="MyriadPro-LightCond" w:hAnsi="Times New Roman" w:cs="Times New Roman"/>
                <w:lang w:eastAsia="en-US"/>
              </w:rPr>
              <w:t xml:space="preserve">Высокое содержание гемоглобина </w:t>
            </w:r>
          </w:p>
        </w:tc>
        <w:tc>
          <w:tcPr>
            <w:tcW w:w="3096" w:type="dxa"/>
          </w:tcPr>
          <w:p w14:paraId="756D5801" w14:textId="77777777" w:rsidR="00E34355" w:rsidRPr="00E34355" w:rsidRDefault="00E34355" w:rsidP="00AC5D32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lang w:eastAsia="en-US"/>
              </w:rPr>
            </w:pPr>
            <w:r w:rsidRPr="00E34355">
              <w:rPr>
                <w:rFonts w:ascii="Times New Roman" w:eastAsia="MyriadPro-LightCond" w:hAnsi="Times New Roman" w:cs="Times New Roman"/>
                <w:lang w:eastAsia="en-US"/>
              </w:rPr>
              <w:t>Высокое содержание белков</w:t>
            </w:r>
          </w:p>
        </w:tc>
        <w:tc>
          <w:tcPr>
            <w:tcW w:w="3096" w:type="dxa"/>
          </w:tcPr>
          <w:p w14:paraId="7ED61AF7" w14:textId="77777777" w:rsidR="00E34355" w:rsidRPr="00E34355" w:rsidRDefault="00E34355" w:rsidP="00AC5D32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lang w:eastAsia="en-US"/>
              </w:rPr>
            </w:pPr>
            <w:r w:rsidRPr="00E34355">
              <w:rPr>
                <w:rFonts w:ascii="Times New Roman" w:eastAsia="MyriadPro-LightCond" w:hAnsi="Times New Roman" w:cs="Times New Roman"/>
                <w:lang w:eastAsia="en-US"/>
              </w:rPr>
              <w:t>Высокое содержание билирубина</w:t>
            </w:r>
          </w:p>
        </w:tc>
      </w:tr>
      <w:tr w:rsidR="00E34355" w:rsidRPr="00E34355" w14:paraId="016231E5" w14:textId="77777777" w:rsidTr="00210EC1">
        <w:tc>
          <w:tcPr>
            <w:tcW w:w="3095" w:type="dxa"/>
          </w:tcPr>
          <w:p w14:paraId="783C4AFF" w14:textId="77777777" w:rsidR="00E34355" w:rsidRPr="00E34355" w:rsidRDefault="00E34355" w:rsidP="00E34355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lang w:eastAsia="en-US"/>
              </w:rPr>
            </w:pPr>
            <w:r w:rsidRPr="00E34355">
              <w:rPr>
                <w:rFonts w:ascii="Times New Roman" w:eastAsia="MyriadPro-LightCond" w:hAnsi="Times New Roman" w:cs="Times New Roman"/>
                <w:lang w:eastAsia="en-US"/>
              </w:rPr>
              <w:t xml:space="preserve">Высокое содержание триглицеридов </w:t>
            </w:r>
          </w:p>
        </w:tc>
        <w:tc>
          <w:tcPr>
            <w:tcW w:w="3096" w:type="dxa"/>
          </w:tcPr>
          <w:p w14:paraId="3C160FB3" w14:textId="77777777" w:rsidR="00E34355" w:rsidRPr="00E34355" w:rsidRDefault="00E34355" w:rsidP="00E34355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lang w:eastAsia="en-US"/>
              </w:rPr>
            </w:pPr>
            <w:r w:rsidRPr="00E34355">
              <w:rPr>
                <w:rFonts w:ascii="Times New Roman" w:eastAsia="MyriadPro-LightCond" w:hAnsi="Times New Roman" w:cs="Times New Roman"/>
                <w:lang w:eastAsia="en-US"/>
              </w:rPr>
              <w:t>Желтуха</w:t>
            </w:r>
          </w:p>
        </w:tc>
        <w:tc>
          <w:tcPr>
            <w:tcW w:w="3096" w:type="dxa"/>
          </w:tcPr>
          <w:p w14:paraId="356511A2" w14:textId="77777777" w:rsidR="00E34355" w:rsidRPr="00E34355" w:rsidRDefault="00E34355" w:rsidP="00210EC1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lang w:eastAsia="en-US"/>
              </w:rPr>
            </w:pPr>
            <w:r w:rsidRPr="00E34355">
              <w:rPr>
                <w:rFonts w:ascii="Times New Roman" w:eastAsia="MyriadPro-LightCond" w:hAnsi="Times New Roman" w:cs="Times New Roman"/>
                <w:lang w:eastAsia="en-US"/>
              </w:rPr>
              <w:t>Гепарин натрия</w:t>
            </w:r>
            <w:r w:rsidRPr="00880123">
              <w:rPr>
                <w:rFonts w:ascii="Times New Roman" w:eastAsia="MyriadPro-LightCond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E34355" w:rsidRPr="00E34355" w14:paraId="5C191174" w14:textId="77777777" w:rsidTr="00E34355">
        <w:tc>
          <w:tcPr>
            <w:tcW w:w="3095" w:type="dxa"/>
          </w:tcPr>
          <w:p w14:paraId="2F20E0F4" w14:textId="77777777" w:rsidR="00E34355" w:rsidRPr="00E34355" w:rsidRDefault="00E34355" w:rsidP="00E34355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lang w:eastAsia="en-US"/>
              </w:rPr>
            </w:pPr>
            <w:r w:rsidRPr="00E34355">
              <w:rPr>
                <w:rFonts w:ascii="Times New Roman" w:eastAsia="MyriadPro-LightCond" w:hAnsi="Times New Roman" w:cs="Times New Roman"/>
                <w:lang w:eastAsia="en-US"/>
              </w:rPr>
              <w:t xml:space="preserve">Видимый гемолиз (гемолитическая болезнь) </w:t>
            </w:r>
          </w:p>
        </w:tc>
        <w:tc>
          <w:tcPr>
            <w:tcW w:w="3096" w:type="dxa"/>
          </w:tcPr>
          <w:p w14:paraId="1B62C46A" w14:textId="77777777" w:rsidR="00E34355" w:rsidRPr="00E34355" w:rsidRDefault="00E34355" w:rsidP="00AC5D32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lang w:eastAsia="en-US"/>
              </w:rPr>
            </w:pPr>
            <w:r w:rsidRPr="00E34355">
              <w:rPr>
                <w:rFonts w:ascii="Times New Roman" w:eastAsia="MyriadPro-LightCond" w:hAnsi="Times New Roman" w:cs="Times New Roman"/>
                <w:lang w:eastAsia="en-US"/>
              </w:rPr>
              <w:t>Гиперлипидемия</w:t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3715D855" w14:textId="77777777" w:rsidR="00E34355" w:rsidRPr="00E34355" w:rsidRDefault="00E34355" w:rsidP="00AC5D32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lang w:eastAsia="en-US"/>
              </w:rPr>
            </w:pPr>
            <w:r w:rsidRPr="00E34355">
              <w:rPr>
                <w:rFonts w:ascii="Times New Roman" w:eastAsia="MyriadPro-LightCond" w:hAnsi="Times New Roman" w:cs="Times New Roman"/>
                <w:lang w:eastAsia="en-US"/>
              </w:rPr>
              <w:t xml:space="preserve">Цитрат натрия </w:t>
            </w:r>
            <w:r w:rsidRPr="00880123">
              <w:rPr>
                <w:rFonts w:ascii="Times New Roman" w:eastAsia="MyriadPro-LightCond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E34355" w:rsidRPr="00E34355" w14:paraId="08FDE7F0" w14:textId="77777777" w:rsidTr="00E34355">
        <w:tc>
          <w:tcPr>
            <w:tcW w:w="3095" w:type="dxa"/>
          </w:tcPr>
          <w:p w14:paraId="48BF65C2" w14:textId="77777777" w:rsidR="00E34355" w:rsidRPr="00E34355" w:rsidRDefault="00E34355" w:rsidP="00E34355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lang w:eastAsia="en-US"/>
              </w:rPr>
            </w:pPr>
            <w:r w:rsidRPr="00E34355">
              <w:rPr>
                <w:rFonts w:ascii="Times New Roman" w:eastAsia="MyriadPro-LightCond" w:hAnsi="Times New Roman" w:cs="Times New Roman"/>
                <w:lang w:eastAsia="en-US"/>
              </w:rPr>
              <w:t xml:space="preserve">Бактериальная инфекция </w:t>
            </w:r>
          </w:p>
        </w:tc>
        <w:tc>
          <w:tcPr>
            <w:tcW w:w="3096" w:type="dxa"/>
          </w:tcPr>
          <w:p w14:paraId="71AF9C6A" w14:textId="77777777" w:rsidR="00E34355" w:rsidRPr="00E34355" w:rsidRDefault="00E34355" w:rsidP="00E34355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lang w:eastAsia="en-US"/>
              </w:rPr>
            </w:pPr>
            <w:r w:rsidRPr="00E34355">
              <w:rPr>
                <w:rFonts w:ascii="Times New Roman" w:eastAsia="MyriadPro-LightCond" w:hAnsi="Times New Roman" w:cs="Times New Roman"/>
                <w:lang w:eastAsia="en-US"/>
              </w:rPr>
              <w:t xml:space="preserve">ЭДТА </w:t>
            </w:r>
            <w:r w:rsidRPr="00880123">
              <w:rPr>
                <w:rFonts w:ascii="Times New Roman" w:eastAsia="MyriadPro-LightCond" w:hAnsi="Times New Roman" w:cs="Times New Roman"/>
                <w:vertAlign w:val="superscript"/>
                <w:lang w:eastAsia="en-US"/>
              </w:rPr>
              <w:t>3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14:paraId="79107FA5" w14:textId="77777777" w:rsidR="00E34355" w:rsidRPr="00E34355" w:rsidRDefault="00E34355" w:rsidP="00210EC1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lang w:eastAsia="en-US"/>
              </w:rPr>
            </w:pPr>
          </w:p>
        </w:tc>
      </w:tr>
    </w:tbl>
    <w:p w14:paraId="0FB79392" w14:textId="77777777" w:rsidR="00E34355" w:rsidRPr="00880123" w:rsidRDefault="00E34355" w:rsidP="00E3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4"/>
          <w:szCs w:val="24"/>
          <w:lang w:eastAsia="en-US"/>
        </w:rPr>
      </w:pPr>
      <w:r w:rsidRPr="00880123">
        <w:rPr>
          <w:rFonts w:ascii="Times New Roman" w:eastAsia="MyriadPro-LightCond" w:hAnsi="Times New Roman" w:cs="Times New Roman"/>
          <w:sz w:val="24"/>
          <w:szCs w:val="24"/>
          <w:vertAlign w:val="superscript"/>
          <w:lang w:eastAsia="en-US"/>
        </w:rPr>
        <w:t xml:space="preserve">1 </w:t>
      </w:r>
      <w:r w:rsidRPr="00880123">
        <w:rPr>
          <w:rFonts w:ascii="Times New Roman" w:eastAsia="MyriadPro-LightCond" w:hAnsi="Times New Roman" w:cs="Times New Roman"/>
          <w:sz w:val="24"/>
          <w:szCs w:val="24"/>
          <w:lang w:eastAsia="en-US"/>
        </w:rPr>
        <w:t>Всего три из 20 образцов ВГА дали ложноположительный результат при использовании OraQuick®. Два из трех образцов были отрицательны при использовании OraQuick® при первом времени считывания и положительными при втором времени считывания. Оставшийся образец был положительным в оба времени считывания.</w:t>
      </w:r>
    </w:p>
    <w:p w14:paraId="10A4F00E" w14:textId="77777777" w:rsidR="00E34355" w:rsidRPr="00880123" w:rsidRDefault="00E34355" w:rsidP="00E3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4"/>
          <w:szCs w:val="24"/>
          <w:lang w:eastAsia="en-US"/>
        </w:rPr>
      </w:pPr>
      <w:r w:rsidRPr="00880123">
        <w:rPr>
          <w:rFonts w:ascii="Times New Roman" w:eastAsia="MyriadPro-LightCond" w:hAnsi="Times New Roman" w:cs="Times New Roman"/>
          <w:sz w:val="24"/>
          <w:szCs w:val="24"/>
          <w:vertAlign w:val="superscript"/>
          <w:lang w:eastAsia="en-US"/>
        </w:rPr>
        <w:t>2</w:t>
      </w:r>
      <w:r w:rsidRPr="00880123">
        <w:rPr>
          <w:rFonts w:ascii="Times New Roman" w:eastAsia="MyriadPro-LightCond" w:hAnsi="Times New Roman" w:cs="Times New Roman"/>
          <w:sz w:val="24"/>
          <w:szCs w:val="24"/>
          <w:lang w:eastAsia="en-US"/>
        </w:rPr>
        <w:t xml:space="preserve"> Один из образцов был отрицательным при использовании OraQuick® при первом времени считывания и положительным при втором времени считывания.</w:t>
      </w:r>
    </w:p>
    <w:p w14:paraId="2299FC6A" w14:textId="77777777" w:rsidR="00210EC1" w:rsidRDefault="00E34355" w:rsidP="00E3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4"/>
          <w:szCs w:val="24"/>
          <w:lang w:eastAsia="en-US"/>
        </w:rPr>
      </w:pPr>
      <w:r w:rsidRPr="00880123">
        <w:rPr>
          <w:rFonts w:ascii="Times New Roman" w:eastAsia="MyriadPro-LightCond" w:hAnsi="Times New Roman" w:cs="Times New Roman"/>
          <w:sz w:val="24"/>
          <w:szCs w:val="24"/>
          <w:vertAlign w:val="superscript"/>
          <w:lang w:eastAsia="en-US"/>
        </w:rPr>
        <w:t>3</w:t>
      </w:r>
      <w:r w:rsidRPr="00880123">
        <w:rPr>
          <w:rFonts w:ascii="Times New Roman" w:eastAsia="MyriadPro-LightCond" w:hAnsi="Times New Roman" w:cs="Times New Roman"/>
          <w:sz w:val="24"/>
          <w:szCs w:val="24"/>
          <w:lang w:eastAsia="en-US"/>
        </w:rPr>
        <w:t xml:space="preserve"> Максимальное время считывания при использовании теста OraQuick® для данных образцов составляло 40 минут. На основе хранения образцов в течение 5 суток при 2–30 ˚C.</w:t>
      </w:r>
    </w:p>
    <w:p w14:paraId="0875323F" w14:textId="77777777" w:rsidR="00880123" w:rsidRPr="00880123" w:rsidRDefault="00880123" w:rsidP="00880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880123">
        <w:rPr>
          <w:rFonts w:ascii="Times New Roman" w:eastAsia="MyriadPro-LightCond" w:hAnsi="Times New Roman" w:cs="Times New Roman"/>
          <w:sz w:val="28"/>
          <w:szCs w:val="28"/>
          <w:lang w:eastAsia="en-US"/>
        </w:rPr>
        <w:t>В клинических исследованиях околодесенной жидкости у участников была получена информация о сопутствующих заболеваниях или клинических состояниях, патологии полости рта, вирусных</w:t>
      </w:r>
      <w:r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880123"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инфекциях помимо ВИЧ и прочих факторах (например, потребление продуктов табака, использование </w:t>
      </w:r>
      <w:r w:rsidRPr="00880123">
        <w:rPr>
          <w:rFonts w:ascii="Times New Roman" w:eastAsia="MyriadPro-LightCond" w:hAnsi="Times New Roman" w:cs="Times New Roman"/>
          <w:sz w:val="28"/>
          <w:szCs w:val="28"/>
          <w:lang w:eastAsia="en-US"/>
        </w:rPr>
        <w:lastRenderedPageBreak/>
        <w:t>ополаскивателя для рта в течение 24 часов до выполнения анализа, сопутствующие препараты,</w:t>
      </w:r>
      <w:r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880123">
        <w:rPr>
          <w:rFonts w:ascii="Times New Roman" w:eastAsia="MyriadPro-LightCond" w:hAnsi="Times New Roman" w:cs="Times New Roman"/>
          <w:sz w:val="28"/>
          <w:szCs w:val="28"/>
          <w:lang w:eastAsia="en-US"/>
        </w:rPr>
        <w:t>стоматологические фиксирующие материалы и потребление еды и напитков непосредственно перед анализом). Ни одно из данных состояний заболеваний, клинических состояний или прочих</w:t>
      </w:r>
      <w:r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880123">
        <w:rPr>
          <w:rFonts w:ascii="Times New Roman" w:eastAsia="MyriadPro-LightCond" w:hAnsi="Times New Roman" w:cs="Times New Roman"/>
          <w:sz w:val="28"/>
          <w:szCs w:val="28"/>
          <w:lang w:eastAsia="en-US"/>
        </w:rPr>
        <w:t>факторов не влияло на специфичность теста. В отдельном исследовании у 40 участников было показано, что употребление алкоголя, чистка зубов, использование ополаскивателя для рта или курение</w:t>
      </w:r>
      <w:r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880123">
        <w:rPr>
          <w:rFonts w:ascii="Times New Roman" w:eastAsia="MyriadPro-LightCond" w:hAnsi="Times New Roman" w:cs="Times New Roman"/>
          <w:sz w:val="28"/>
          <w:szCs w:val="28"/>
          <w:lang w:eastAsia="en-US"/>
        </w:rPr>
        <w:t>табака за 5 минут до анализа не оказывает влияния на специфичность теста. Тем не менее рекомендуется выждать определенное время перед забором околодесенной жидкости в соответствии с</w:t>
      </w:r>
      <w:r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880123">
        <w:rPr>
          <w:rFonts w:ascii="Times New Roman" w:eastAsia="MyriadPro-LightCond" w:hAnsi="Times New Roman" w:cs="Times New Roman"/>
          <w:sz w:val="28"/>
          <w:szCs w:val="28"/>
          <w:lang w:eastAsia="en-US"/>
        </w:rPr>
        <w:t>процедурой забора околодесенной жидкости, описанной в данной листовке-вкладыше.</w:t>
      </w:r>
    </w:p>
    <w:p w14:paraId="13155628" w14:textId="77777777" w:rsidR="00880123" w:rsidRPr="00880123" w:rsidRDefault="00880123" w:rsidP="00880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b/>
          <w:bCs/>
          <w:sz w:val="28"/>
          <w:szCs w:val="28"/>
          <w:lang w:eastAsia="en-US"/>
        </w:rPr>
      </w:pPr>
      <w:r w:rsidRPr="00880123">
        <w:rPr>
          <w:rFonts w:ascii="Times New Roman" w:eastAsia="MyriadPro-LightCond" w:hAnsi="Times New Roman" w:cs="Times New Roman"/>
          <w:b/>
          <w:bCs/>
          <w:sz w:val="28"/>
          <w:szCs w:val="28"/>
          <w:lang w:eastAsia="en-US"/>
        </w:rPr>
        <w:t>ВОСПРОИЗВОДИМОСТЬ РЕЗУЛЬТАТОВ</w:t>
      </w:r>
    </w:p>
    <w:p w14:paraId="34970A02" w14:textId="77777777" w:rsidR="00880123" w:rsidRDefault="00880123" w:rsidP="00880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880123">
        <w:rPr>
          <w:rFonts w:ascii="Times New Roman" w:eastAsia="MyriadPro-LightCond" w:hAnsi="Times New Roman" w:cs="Times New Roman"/>
          <w:sz w:val="28"/>
          <w:szCs w:val="28"/>
          <w:lang w:eastAsia="en-US"/>
        </w:rPr>
        <w:t>Оценка воспроизводимости результатов тест-системы OraQuick® Rapid HIV-1/2 Antibody Test проводилась в трех центрах с использованием трех разных партий тест-устройств в разное время в течение</w:t>
      </w:r>
      <w:r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880123">
        <w:rPr>
          <w:rFonts w:ascii="Times New Roman" w:eastAsia="MyriadPro-LightCond" w:hAnsi="Times New Roman" w:cs="Times New Roman"/>
          <w:sz w:val="28"/>
          <w:szCs w:val="28"/>
          <w:lang w:eastAsia="en-US"/>
        </w:rPr>
        <w:t>3 дней девятью операторами (тремя на центр). Тестировалась слепая панель, которая включала пять искусственных образцов крови (четыре с положительным антителами и один с отрицательными</w:t>
      </w:r>
      <w:r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880123">
        <w:rPr>
          <w:rFonts w:ascii="Times New Roman" w:eastAsia="MyriadPro-LightCond" w:hAnsi="Times New Roman" w:cs="Times New Roman"/>
          <w:sz w:val="28"/>
          <w:szCs w:val="28"/>
          <w:lang w:eastAsia="en-US"/>
        </w:rPr>
        <w:t>антителами). Результаты теста записывались в два момента времени считывания. Всего было выполнено 405 тестов (135 на центр), в общем по 81 тесту на каждый образец в панели. Общая</w:t>
      </w:r>
      <w:r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880123">
        <w:rPr>
          <w:rFonts w:ascii="Times New Roman" w:eastAsia="MyriadPro-LightCond" w:hAnsi="Times New Roman" w:cs="Times New Roman"/>
          <w:sz w:val="28"/>
          <w:szCs w:val="28"/>
          <w:lang w:eastAsia="en-US"/>
        </w:rPr>
        <w:t>воспроизводимость экспресс-теста OraQuick® Rapid HIV-1/2 Antibody Test составила 405/405 = 100 %. Согласованность между указанными пределами времени считывания результатов анализа</w:t>
      </w:r>
      <w:r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880123">
        <w:rPr>
          <w:rFonts w:ascii="Times New Roman" w:eastAsia="MyriadPro-LightCond" w:hAnsi="Times New Roman" w:cs="Times New Roman"/>
          <w:sz w:val="28"/>
          <w:szCs w:val="28"/>
          <w:lang w:eastAsia="en-US"/>
        </w:rPr>
        <w:t>составила 99,8 % (404/405); в одном образце в панели с низким положительным титром реакция отсутствовала при первом времени считывания и была положительной при втором времени</w:t>
      </w:r>
      <w:r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880123">
        <w:rPr>
          <w:rFonts w:ascii="Times New Roman" w:eastAsia="MyriadPro-LightCond" w:hAnsi="Times New Roman" w:cs="Times New Roman"/>
          <w:sz w:val="28"/>
          <w:szCs w:val="28"/>
          <w:lang w:eastAsia="en-US"/>
        </w:rPr>
        <w:t>считывания.</w:t>
      </w:r>
    </w:p>
    <w:p w14:paraId="2167C186" w14:textId="77777777" w:rsidR="00880123" w:rsidRDefault="00880123" w:rsidP="00880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</w:p>
    <w:p w14:paraId="24780082" w14:textId="77777777" w:rsidR="00880123" w:rsidRPr="00880123" w:rsidRDefault="00880123" w:rsidP="0088012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80123">
        <w:rPr>
          <w:rFonts w:ascii="Times New Roman" w:hAnsi="Times New Roman"/>
          <w:b/>
          <w:color w:val="000000"/>
          <w:sz w:val="28"/>
          <w:szCs w:val="28"/>
        </w:rPr>
        <w:t>УСЛОВИЯ ХРАНЕНИЯ</w:t>
      </w:r>
    </w:p>
    <w:p w14:paraId="2AB83200" w14:textId="77777777" w:rsidR="00880123" w:rsidRPr="00880123" w:rsidRDefault="00880123" w:rsidP="008801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80123">
        <w:rPr>
          <w:rFonts w:ascii="Times New Roman" w:hAnsi="Times New Roman"/>
          <w:color w:val="000000"/>
          <w:sz w:val="28"/>
          <w:szCs w:val="28"/>
        </w:rPr>
        <w:t>• Храните неиспользованные тесты OraQuick® HIV-1/2 в закрытой упаковке при 2–30 ºC.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0123">
        <w:rPr>
          <w:rFonts w:ascii="Times New Roman" w:hAnsi="Times New Roman"/>
          <w:color w:val="000000"/>
          <w:sz w:val="28"/>
          <w:szCs w:val="28"/>
        </w:rPr>
        <w:t>Вскрывайте упаковку непосредственно перед выполнением теста.</w:t>
      </w:r>
    </w:p>
    <w:p w14:paraId="7762FB5E" w14:textId="77777777" w:rsidR="00880123" w:rsidRPr="00880123" w:rsidRDefault="00880123" w:rsidP="008801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80123">
        <w:rPr>
          <w:rFonts w:ascii="Times New Roman" w:hAnsi="Times New Roman"/>
          <w:color w:val="000000"/>
          <w:sz w:val="28"/>
          <w:szCs w:val="28"/>
        </w:rPr>
        <w:t>• Тест следует проводить в диапазоне температур (15–37 ºC). Если тест-система хранится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0123">
        <w:rPr>
          <w:rFonts w:ascii="Times New Roman" w:hAnsi="Times New Roman"/>
          <w:color w:val="000000"/>
          <w:sz w:val="28"/>
          <w:szCs w:val="28"/>
        </w:rPr>
        <w:t>в холодильнике, перед проведением теста секционный пакет необходимо довести до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0123">
        <w:rPr>
          <w:rFonts w:ascii="Times New Roman" w:hAnsi="Times New Roman"/>
          <w:color w:val="000000"/>
          <w:sz w:val="28"/>
          <w:szCs w:val="28"/>
        </w:rPr>
        <w:t>рабочей температуры (от 15 до 37 ºC).</w:t>
      </w:r>
    </w:p>
    <w:p w14:paraId="2B524F65" w14:textId="77777777" w:rsidR="00880123" w:rsidRDefault="00880123" w:rsidP="008801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80123">
        <w:rPr>
          <w:rFonts w:ascii="Times New Roman" w:hAnsi="Times New Roman"/>
          <w:color w:val="000000"/>
          <w:sz w:val="28"/>
          <w:szCs w:val="28"/>
        </w:rPr>
        <w:t>• Если комплект тест-системы хранится при температуре, выходящей за пределы комнатной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0123">
        <w:rPr>
          <w:rFonts w:ascii="Times New Roman" w:hAnsi="Times New Roman"/>
          <w:color w:val="000000"/>
          <w:sz w:val="28"/>
          <w:szCs w:val="28"/>
        </w:rPr>
        <w:t>температуры (от 2 до 30 ºC), или используется при температуре, выходящей за пределы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0123">
        <w:rPr>
          <w:rFonts w:ascii="Times New Roman" w:hAnsi="Times New Roman"/>
          <w:color w:val="000000"/>
          <w:sz w:val="28"/>
          <w:szCs w:val="28"/>
        </w:rPr>
        <w:t>рабочей температуры (от 15 до 37 ºC), проверьте эффективность теста с помощью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0123">
        <w:rPr>
          <w:rFonts w:ascii="Times New Roman" w:hAnsi="Times New Roman"/>
          <w:color w:val="000000"/>
          <w:sz w:val="28"/>
          <w:szCs w:val="28"/>
        </w:rPr>
        <w:t>комплекта контролей.</w:t>
      </w:r>
    </w:p>
    <w:p w14:paraId="0FBC8E1E" w14:textId="77777777" w:rsidR="00880123" w:rsidRPr="00880123" w:rsidRDefault="00880123" w:rsidP="008801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29"/>
        <w:gridCol w:w="2543"/>
      </w:tblGrid>
      <w:tr w:rsidR="00C85E74" w14:paraId="0CAEC1B5" w14:textId="77777777" w:rsidTr="000A7ADD">
        <w:tc>
          <w:tcPr>
            <w:tcW w:w="6629" w:type="dxa"/>
          </w:tcPr>
          <w:p w14:paraId="4FA4BFC2" w14:textId="77777777" w:rsidR="00C85E74" w:rsidRPr="00880123" w:rsidRDefault="00C85E74" w:rsidP="008801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88012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lastRenderedPageBreak/>
              <w:t>ЗАБОР ОБРАЗЦА и ПРОЦЕДУРА ТЕСТА (околодесенная жидкость)</w:t>
            </w:r>
          </w:p>
          <w:p w14:paraId="7E5D4B6A" w14:textId="77777777" w:rsidR="00C85E74" w:rsidRPr="00880123" w:rsidRDefault="00C85E74" w:rsidP="00880123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</w:pPr>
            <w:r w:rsidRPr="00880123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Лицо, выполняющее тест, должно сначала проинструктировать пациента о тесте и о том,</w:t>
            </w:r>
          </w:p>
          <w:p w14:paraId="5C232ED2" w14:textId="77777777" w:rsidR="00C85E74" w:rsidRPr="00880123" w:rsidRDefault="00C85E74" w:rsidP="00880123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</w:pPr>
            <w:r w:rsidRPr="00880123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как следует собирать образец околодесенной жидкости. Затем тест-устройство передается</w:t>
            </w:r>
          </w:p>
          <w:p w14:paraId="4CC81E4E" w14:textId="77777777" w:rsidR="00C85E74" w:rsidRPr="00880123" w:rsidRDefault="00C85E74" w:rsidP="00880123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</w:pPr>
            <w:r w:rsidRPr="00880123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пациенту. Проинструктируйте пациента о правилах забора образца, как изложено ниже.</w:t>
            </w:r>
          </w:p>
          <w:p w14:paraId="343F8561" w14:textId="77777777" w:rsidR="00C85E74" w:rsidRPr="00880123" w:rsidRDefault="00C85E74" w:rsidP="00880123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</w:pPr>
            <w:r w:rsidRPr="00880123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1. Пациент не должен есть, пить и жевать жевательную резинку как минимум за 15 минут до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80123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начала анализа. Если пациент использовал любое средство по уходу за полостью рта, тест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80123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можно проводить только через 30 минут. Установите многоразовый планшет на ровную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80123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горизонтальную поверхность. Разорвите пакет, в котором содержатся тест-устройство и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80123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флакон с проявляющим раствором (</w:t>
            </w:r>
            <w:r w:rsidRPr="00880123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см. рисунок 1 </w:t>
            </w:r>
            <w:r w:rsidRPr="00880123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). Извлеките флакон с проявляющим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80123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раствором. Осторожно откупорьте флакон, раскачивая колпачок вперед-назад. Разместите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80123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открытый флакон на планшете (</w:t>
            </w:r>
            <w:r w:rsidRPr="00880123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см. рисунок 2 </w:t>
            </w:r>
            <w:r w:rsidRPr="00880123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).</w:t>
            </w:r>
          </w:p>
          <w:p w14:paraId="03ECBB6D" w14:textId="77777777" w:rsidR="00C85E74" w:rsidRDefault="00C85E74" w:rsidP="00880123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</w:pPr>
            <w:r w:rsidRPr="00880123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2. Попросите пациента достать тест-устройство из пакета, не касаясь подушечки для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80123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забора образца (</w:t>
            </w:r>
            <w:r w:rsidRPr="00880123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см. рисунок 3 </w:t>
            </w:r>
            <w:r w:rsidRPr="00880123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). </w:t>
            </w:r>
          </w:p>
          <w:p w14:paraId="2BDEE844" w14:textId="77777777" w:rsidR="00C85E74" w:rsidRPr="00880123" w:rsidRDefault="00C85E74" w:rsidP="008801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88012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Убедитесь, что абсорбирующий пакет вложен в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88012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упаковку. Если абсорбирующий пакет отсутствует, тест-система не подлежит</w:t>
            </w:r>
          </w:p>
          <w:p w14:paraId="21813DDD" w14:textId="77777777" w:rsidR="00C85E74" w:rsidRPr="00880123" w:rsidRDefault="00C85E74" w:rsidP="008801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88012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использованию.</w:t>
            </w:r>
          </w:p>
          <w:p w14:paraId="762F13DC" w14:textId="77777777" w:rsidR="00C85E74" w:rsidRPr="00880123" w:rsidRDefault="00C85E74" w:rsidP="00880123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</w:pPr>
            <w:r w:rsidRPr="00880123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3. Проинструктируйте пациента провести тест-устройство по всей </w:t>
            </w:r>
            <w:r w:rsidRPr="0088012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внешней </w:t>
            </w:r>
            <w:r w:rsidRPr="00880123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поверхности</w:t>
            </w:r>
          </w:p>
          <w:p w14:paraId="0719D131" w14:textId="77777777" w:rsidR="00C85E74" w:rsidRPr="00880123" w:rsidRDefault="00C85E74" w:rsidP="00880123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</w:pPr>
            <w:r w:rsidRPr="00880123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десен, слегка проводя </w:t>
            </w:r>
            <w:r w:rsidRPr="0088012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плоской подушечкой </w:t>
            </w:r>
            <w:r w:rsidRPr="00880123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один раз по </w:t>
            </w:r>
            <w:r w:rsidRPr="0088012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верхней </w:t>
            </w:r>
            <w:r w:rsidRPr="00880123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и </w:t>
            </w:r>
            <w:r w:rsidRPr="008801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один раз по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8012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нижней десне </w:t>
            </w:r>
            <w:r w:rsidRPr="00880123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(</w:t>
            </w:r>
            <w:r w:rsidRPr="00880123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см. рисунки 4 и 5 </w:t>
            </w:r>
            <w:r w:rsidRPr="00880123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).</w:t>
            </w:r>
          </w:p>
          <w:p w14:paraId="047AF86E" w14:textId="77777777" w:rsidR="00C85E74" w:rsidRPr="00880123" w:rsidRDefault="00C85E74" w:rsidP="008801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880123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4. Когда пациент закончит собирать образец с десен, попросите его вставить </w:t>
            </w:r>
            <w:r w:rsidRPr="0088012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тест-устройство</w:t>
            </w:r>
          </w:p>
          <w:p w14:paraId="7C994D34" w14:textId="77777777" w:rsidR="00C85E74" w:rsidRPr="00880123" w:rsidRDefault="00C85E74" w:rsidP="00880123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</w:pPr>
            <w:r w:rsidRPr="00880123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во флакон так, чтобы подушечка полностью погрузилась в жидкость (</w:t>
            </w:r>
            <w:r w:rsidRPr="00880123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см. рисунок 6 </w:t>
            </w:r>
            <w:r w:rsidRPr="00880123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).</w:t>
            </w:r>
          </w:p>
          <w:p w14:paraId="2033BB67" w14:textId="77777777" w:rsidR="00C85E74" w:rsidRPr="00880123" w:rsidRDefault="00C85E74" w:rsidP="00880123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</w:pPr>
            <w:r w:rsidRPr="00880123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Следите, чтобы окно результатов было направлено </w:t>
            </w:r>
            <w:r w:rsidRPr="0088012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вперед </w:t>
            </w:r>
            <w:r w:rsidRPr="00880123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для удобства считывания</w:t>
            </w:r>
          </w:p>
          <w:p w14:paraId="7BA92D77" w14:textId="77777777" w:rsidR="00C85E74" w:rsidRPr="00880123" w:rsidRDefault="00C85E74" w:rsidP="00880123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</w:pPr>
            <w:r w:rsidRPr="00880123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результатов (</w:t>
            </w:r>
            <w:r w:rsidRPr="00880123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см. рисунок 7 </w:t>
            </w:r>
            <w:r w:rsidRPr="00880123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). Включите таймер или запишите время. Не извлекайте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80123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тест-устройство из флакона в течение процесса проявления.</w:t>
            </w:r>
          </w:p>
          <w:p w14:paraId="24422046" w14:textId="77777777" w:rsidR="00C85E74" w:rsidRPr="00880123" w:rsidRDefault="00C85E74" w:rsidP="008801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880123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5. </w:t>
            </w:r>
            <w:r w:rsidRPr="0088012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Результаты следует считывать не ранее 20 минут, но не позже 40 минут после</w:t>
            </w:r>
          </w:p>
          <w:p w14:paraId="17DCE297" w14:textId="77777777" w:rsidR="00C85E74" w:rsidRPr="00880123" w:rsidRDefault="00C85E74" w:rsidP="0088012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88012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lastRenderedPageBreak/>
              <w:t xml:space="preserve">погружения устройства во флакон с буфером. </w:t>
            </w:r>
            <w:r w:rsidRPr="00880123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Запишите результаты, которые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80123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проявились в окне результатов (см. разделы </w:t>
            </w:r>
            <w:r w:rsidRPr="00880123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/>
              </w:rPr>
              <w:t>Интерпретация результатов и Ограничения</w:t>
            </w:r>
          </w:p>
          <w:p w14:paraId="0FED876F" w14:textId="77777777" w:rsidR="00C85E74" w:rsidRPr="00880123" w:rsidRDefault="00C85E74" w:rsidP="008801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123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/>
              </w:rPr>
              <w:t>анализа ниже</w:t>
            </w:r>
            <w:r w:rsidRPr="00880123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), затем выбросьте тест-устройство и флакон с проявляющим раствором в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80123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контейнер для биологически опасных отходов.</w:t>
            </w:r>
          </w:p>
        </w:tc>
        <w:tc>
          <w:tcPr>
            <w:tcW w:w="2543" w:type="dxa"/>
          </w:tcPr>
          <w:p w14:paraId="2671793A" w14:textId="77777777" w:rsidR="00C85E74" w:rsidRDefault="00013D61" w:rsidP="00C85E74">
            <w:pPr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 wp14:anchorId="008E41B4" wp14:editId="6C7B413F">
                  <wp:extent cx="1371600" cy="1057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447FFB" w14:textId="77777777" w:rsidR="00C85E74" w:rsidRDefault="00013D61" w:rsidP="00C85E74">
            <w:pPr>
              <w:jc w:val="both"/>
            </w:pPr>
            <w:r>
              <w:rPr>
                <w:noProof/>
              </w:rPr>
              <w:drawing>
                <wp:inline distT="0" distB="0" distL="0" distR="0" wp14:anchorId="4F830A31" wp14:editId="712AEC5D">
                  <wp:extent cx="1343025" cy="106680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EEBF2F" w14:textId="77777777" w:rsidR="00C85E74" w:rsidRDefault="00013D61" w:rsidP="00C85E74">
            <w:pPr>
              <w:jc w:val="both"/>
            </w:pPr>
            <w:r>
              <w:rPr>
                <w:noProof/>
              </w:rPr>
              <w:drawing>
                <wp:inline distT="0" distB="0" distL="0" distR="0" wp14:anchorId="16BAA193" wp14:editId="10D54C90">
                  <wp:extent cx="1381125" cy="1123950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2969B5" w14:textId="77777777" w:rsidR="00C85E74" w:rsidRDefault="00013D61" w:rsidP="00C85E74">
            <w:pPr>
              <w:jc w:val="both"/>
            </w:pPr>
            <w:r>
              <w:rPr>
                <w:noProof/>
              </w:rPr>
              <w:drawing>
                <wp:inline distT="0" distB="0" distL="0" distR="0" wp14:anchorId="61E6E0B7" wp14:editId="7147B35B">
                  <wp:extent cx="1362075" cy="112395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C9135A" w14:textId="77777777" w:rsidR="00C85E74" w:rsidRDefault="00013D61" w:rsidP="00C85E74">
            <w:pPr>
              <w:jc w:val="both"/>
            </w:pPr>
            <w:r>
              <w:rPr>
                <w:noProof/>
              </w:rPr>
              <w:drawing>
                <wp:inline distT="0" distB="0" distL="0" distR="0" wp14:anchorId="66B892F5" wp14:editId="51EAA63B">
                  <wp:extent cx="1371600" cy="10858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F8524A" w14:textId="77777777" w:rsidR="00C85E74" w:rsidRDefault="00013D61" w:rsidP="00C85E74">
            <w:pPr>
              <w:jc w:val="both"/>
            </w:pPr>
            <w:r>
              <w:rPr>
                <w:noProof/>
              </w:rPr>
              <w:drawing>
                <wp:inline distT="0" distB="0" distL="0" distR="0" wp14:anchorId="31F80E7C" wp14:editId="145077DA">
                  <wp:extent cx="1371600" cy="1114425"/>
                  <wp:effectExtent l="0" t="0" r="0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79BE9E" w14:textId="77777777" w:rsidR="00C85E74" w:rsidRDefault="00013D61" w:rsidP="00C85E74">
            <w:pPr>
              <w:jc w:val="both"/>
            </w:pPr>
            <w:r>
              <w:rPr>
                <w:noProof/>
              </w:rPr>
              <w:drawing>
                <wp:inline distT="0" distB="0" distL="0" distR="0" wp14:anchorId="6E12A0A3" wp14:editId="5BA98121">
                  <wp:extent cx="1362075" cy="107632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929627" w14:textId="77777777" w:rsidR="00C85E74" w:rsidRDefault="00013D61" w:rsidP="00C85E74">
            <w:pPr>
              <w:jc w:val="both"/>
            </w:pPr>
            <w:r>
              <w:rPr>
                <w:noProof/>
              </w:rPr>
              <w:drawing>
                <wp:inline distT="0" distB="0" distL="0" distR="0" wp14:anchorId="10CBA8D5" wp14:editId="70189EAF">
                  <wp:extent cx="1343025" cy="108585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973F98" w14:textId="77777777" w:rsidR="00C85E74" w:rsidRDefault="00013D61" w:rsidP="00C85E74">
            <w:pPr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 wp14:anchorId="7B8C9F53" wp14:editId="5CC927D0">
                  <wp:extent cx="1304925" cy="107632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6F737F" w14:textId="77777777" w:rsidR="00C85E74" w:rsidRDefault="00C85E74" w:rsidP="00C85E74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2749E5D1" w14:textId="77777777" w:rsidR="000A7ADD" w:rsidRPr="000A7ADD" w:rsidRDefault="000A7ADD" w:rsidP="000A7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0A7AD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ЗАБОР ОБРАЗЦА и ПРОЦЕДУРА ТЕСТА</w:t>
      </w:r>
    </w:p>
    <w:p w14:paraId="59024B15" w14:textId="77777777" w:rsidR="000A7ADD" w:rsidRPr="000A7ADD" w:rsidRDefault="000A7ADD" w:rsidP="000A7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0A7AD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(цельная кровь, сыворотка, плазма)</w:t>
      </w:r>
    </w:p>
    <w:p w14:paraId="48073B65" w14:textId="77777777" w:rsidR="000A7ADD" w:rsidRPr="000A7ADD" w:rsidRDefault="000A7ADD" w:rsidP="000A7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0A7ADD">
        <w:rPr>
          <w:rFonts w:ascii="Times New Roman" w:eastAsia="MyriadPro-LightCond" w:hAnsi="Times New Roman" w:cs="Times New Roman"/>
          <w:sz w:val="28"/>
          <w:szCs w:val="28"/>
          <w:lang w:eastAsia="en-US"/>
        </w:rPr>
        <w:t>Соблюдайте общие меры предосторожности 7 при выполнении процедур анализа крови</w:t>
      </w:r>
    </w:p>
    <w:p w14:paraId="587E7891" w14:textId="77777777" w:rsidR="000A7ADD" w:rsidRPr="000A7ADD" w:rsidRDefault="000A7ADD" w:rsidP="000A7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0A7AD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ШАГ 1</w:t>
      </w:r>
    </w:p>
    <w:p w14:paraId="06E43B94" w14:textId="77777777" w:rsidR="000A7ADD" w:rsidRPr="000A7ADD" w:rsidRDefault="000A7ADD" w:rsidP="000A7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Cond" w:hAnsi="Times New Roman" w:cs="Times New Roman"/>
          <w:sz w:val="28"/>
          <w:szCs w:val="28"/>
          <w:lang w:eastAsia="en-US"/>
        </w:rPr>
      </w:pPr>
      <w:r w:rsidRPr="000A7ADD">
        <w:rPr>
          <w:rFonts w:ascii="Times New Roman" w:eastAsia="MyriadPro-LightCond" w:hAnsi="Times New Roman" w:cs="Times New Roman"/>
          <w:sz w:val="28"/>
          <w:szCs w:val="28"/>
          <w:lang w:eastAsia="en-US"/>
        </w:rPr>
        <w:t>Установите многоразовый планшет на ровную горизонтальную поверхность. Разорвите пакет,</w:t>
      </w:r>
      <w:r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0A7ADD">
        <w:rPr>
          <w:rFonts w:ascii="Times New Roman" w:eastAsia="MyriadPro-LightCond" w:hAnsi="Times New Roman" w:cs="Times New Roman"/>
          <w:sz w:val="28"/>
          <w:szCs w:val="28"/>
          <w:lang w:eastAsia="en-US"/>
        </w:rPr>
        <w:t>в котором содержатся тест-устройство и флакон с проявляющим раствором (</w:t>
      </w:r>
      <w:r w:rsidRPr="000A7ADD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см. рисунок 8 </w:t>
      </w:r>
      <w:r w:rsidRPr="000A7ADD">
        <w:rPr>
          <w:rFonts w:ascii="Times New Roman" w:eastAsia="MyriadPro-LightCond" w:hAnsi="Times New Roman" w:cs="Times New Roman"/>
          <w:sz w:val="28"/>
          <w:szCs w:val="28"/>
          <w:lang w:eastAsia="en-US"/>
        </w:rPr>
        <w:t>).</w:t>
      </w:r>
    </w:p>
    <w:p w14:paraId="7CCE5BA1" w14:textId="77777777" w:rsidR="00880123" w:rsidRPr="000A7ADD" w:rsidRDefault="000A7ADD" w:rsidP="000A7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ADD">
        <w:rPr>
          <w:rFonts w:ascii="Times New Roman" w:eastAsia="MyriadPro-LightCond" w:hAnsi="Times New Roman" w:cs="Times New Roman"/>
          <w:sz w:val="28"/>
          <w:szCs w:val="28"/>
          <w:lang w:eastAsia="en-US"/>
        </w:rPr>
        <w:t>Извлеките флакон. Осторожно откупорьте флакон, раскачивая колпачок вперед-назад. Разместите</w:t>
      </w:r>
      <w:r>
        <w:rPr>
          <w:rFonts w:ascii="Times New Roman" w:eastAsia="MyriadPro-LightCond" w:hAnsi="Times New Roman" w:cs="Times New Roman"/>
          <w:sz w:val="28"/>
          <w:szCs w:val="28"/>
          <w:lang w:eastAsia="en-US"/>
        </w:rPr>
        <w:t xml:space="preserve"> </w:t>
      </w:r>
      <w:r w:rsidRPr="000A7ADD">
        <w:rPr>
          <w:rFonts w:ascii="Times New Roman" w:eastAsia="MyriadPro-LightCond" w:hAnsi="Times New Roman" w:cs="Times New Roman"/>
          <w:sz w:val="28"/>
          <w:szCs w:val="28"/>
          <w:lang w:eastAsia="en-US"/>
        </w:rPr>
        <w:t>открытый флакон на планшете (</w:t>
      </w:r>
      <w:r w:rsidRPr="000A7ADD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см. рисунок 9 </w:t>
      </w:r>
      <w:r w:rsidRPr="000A7ADD">
        <w:rPr>
          <w:rFonts w:ascii="Times New Roman" w:eastAsia="MyriadPro-LightCond" w:hAnsi="Times New Roman" w:cs="Times New Roman"/>
          <w:sz w:val="28"/>
          <w:szCs w:val="28"/>
          <w:lang w:eastAsia="en-US"/>
        </w:rPr>
        <w:t>).</w:t>
      </w:r>
    </w:p>
    <w:p w14:paraId="139E188A" w14:textId="77777777" w:rsidR="00880123" w:rsidRDefault="00880123" w:rsidP="00880123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  <w:gridCol w:w="561"/>
        <w:gridCol w:w="3089"/>
      </w:tblGrid>
      <w:tr w:rsidR="00AC5D32" w14:paraId="1B0AD6B1" w14:textId="77777777" w:rsidTr="00387494">
        <w:tc>
          <w:tcPr>
            <w:tcW w:w="6198" w:type="dxa"/>
            <w:gridSpan w:val="2"/>
          </w:tcPr>
          <w:p w14:paraId="33203316" w14:textId="77777777" w:rsidR="000A7ADD" w:rsidRPr="000A7ADD" w:rsidRDefault="000A7ADD" w:rsidP="000A7AD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A7ADD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ШАГ 1.A. КАПИЛЛЯРНАЯ ЦЕЛЬНАЯ КРОВЬ</w:t>
            </w:r>
          </w:p>
          <w:p w14:paraId="75549B5F" w14:textId="77777777" w:rsidR="000A7ADD" w:rsidRPr="000A7ADD" w:rsidRDefault="000A7ADD" w:rsidP="000A7ADD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</w:pP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1. Протрите палец исследуемого лица асептической салфеткой. После обработки области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пункции кожи просушите его на воздухе, чтобы успело развиться асептическое действие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спирта. Используя стерильный скарификатор, проколите кожу непосредственно вблизи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от центра подушечки пальца. Поверните палец вниз. Осторожно надавите возле области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пункции. Не пережимайте палец слишком сильно, чтобы рана не кровоточила (</w:t>
            </w:r>
            <w:r w:rsidRPr="000A7ADD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/>
              </w:rPr>
              <w:t>см.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0A7ADD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рисунок 10 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). Сотрите первую каплю крови стерильной марлевой салфеткой. Позвольте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сформироваться новой капле крови.</w:t>
            </w:r>
          </w:p>
          <w:p w14:paraId="49D9772F" w14:textId="77777777" w:rsidR="000A7ADD" w:rsidRPr="000A7ADD" w:rsidRDefault="000A7ADD" w:rsidP="000A7ADD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</w:pP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2. Возьмите неиспользованную петлю для забора образцов (далее — </w:t>
            </w:r>
            <w:r w:rsidRPr="000A7ADD">
              <w:rPr>
                <w:rFonts w:ascii="Cambria Math" w:eastAsia="MyriadPro-LightCond" w:hAnsi="Cambria Math" w:cs="Cambria Math"/>
                <w:sz w:val="28"/>
                <w:szCs w:val="28"/>
                <w:lang w:eastAsia="en-US"/>
              </w:rPr>
              <w:t>≪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петля</w:t>
            </w:r>
            <w:r w:rsidRPr="000A7ADD">
              <w:rPr>
                <w:rFonts w:ascii="Cambria Math" w:eastAsia="MyriadPro-LightCond" w:hAnsi="Cambria Math" w:cs="Cambria Math"/>
                <w:sz w:val="28"/>
                <w:szCs w:val="28"/>
                <w:lang w:eastAsia="en-US"/>
              </w:rPr>
              <w:t>≫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) за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утолщенную рукоятку (</w:t>
            </w:r>
            <w:r w:rsidRPr="000A7ADD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см. рисунок 11 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). Поместите закругленный конец петли на каплю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крови (с</w:t>
            </w:r>
            <w:r w:rsidRPr="000A7ADD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м. рисунок 12 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). Убедитесь, что петля полностью заполнилась кровью (</w:t>
            </w:r>
            <w:r w:rsidRPr="000A7ADD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/>
              </w:rPr>
              <w:t>см.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0A7ADD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рисунок 13 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). ПРИМЕЧАНИЕ. При падении петли или при ее контакте с какой-либо другой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поверхностью утилизируйте ее, используя контейнер для биологически опасных отходов.</w:t>
            </w:r>
          </w:p>
          <w:p w14:paraId="36BE20AA" w14:textId="77777777" w:rsidR="000A7ADD" w:rsidRDefault="000A7ADD" w:rsidP="000A7ADD">
            <w:pPr>
              <w:jc w:val="both"/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</w:pP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lastRenderedPageBreak/>
              <w:t>Возьмите новую петлю для забора образца крови.</w:t>
            </w:r>
          </w:p>
          <w:p w14:paraId="36F7E463" w14:textId="77777777" w:rsidR="000A7ADD" w:rsidRDefault="000A7ADD" w:rsidP="000A7ADD">
            <w:pPr>
              <w:jc w:val="both"/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</w:pPr>
          </w:p>
          <w:p w14:paraId="5F018081" w14:textId="77777777" w:rsidR="000A7ADD" w:rsidRDefault="000A7ADD" w:rsidP="000A7ADD">
            <w:pPr>
              <w:jc w:val="both"/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</w:pPr>
          </w:p>
          <w:p w14:paraId="57ABCD32" w14:textId="77777777" w:rsidR="000A7ADD" w:rsidRPr="000A7ADD" w:rsidRDefault="000A7ADD" w:rsidP="000A7A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74EBEC6D" w14:textId="77777777" w:rsidR="000A7ADD" w:rsidRDefault="00013D61" w:rsidP="00880123">
            <w:pPr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 wp14:anchorId="2C094FB9" wp14:editId="7C443B07">
                  <wp:extent cx="1323975" cy="1076325"/>
                  <wp:effectExtent l="0" t="0" r="952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D9F5B4" w14:textId="77777777" w:rsidR="000A7ADD" w:rsidRDefault="00013D61" w:rsidP="00880123">
            <w:pPr>
              <w:jc w:val="both"/>
            </w:pPr>
            <w:r>
              <w:rPr>
                <w:noProof/>
              </w:rPr>
              <w:drawing>
                <wp:inline distT="0" distB="0" distL="0" distR="0" wp14:anchorId="60997F0A" wp14:editId="7BAB9A71">
                  <wp:extent cx="1333500" cy="1038225"/>
                  <wp:effectExtent l="0" t="0" r="0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B3C7A4" w14:textId="77777777" w:rsidR="000A7ADD" w:rsidRDefault="00013D61" w:rsidP="00880123">
            <w:pPr>
              <w:jc w:val="both"/>
            </w:pPr>
            <w:r>
              <w:rPr>
                <w:noProof/>
              </w:rPr>
              <w:drawing>
                <wp:inline distT="0" distB="0" distL="0" distR="0" wp14:anchorId="0150CBE7" wp14:editId="13AB114C">
                  <wp:extent cx="1323975" cy="1095375"/>
                  <wp:effectExtent l="0" t="0" r="952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FEC2D5" w14:textId="77777777" w:rsidR="000A7ADD" w:rsidRDefault="00013D61" w:rsidP="00880123">
            <w:pPr>
              <w:jc w:val="both"/>
            </w:pPr>
            <w:r>
              <w:rPr>
                <w:noProof/>
              </w:rPr>
              <w:drawing>
                <wp:inline distT="0" distB="0" distL="0" distR="0" wp14:anchorId="24C342D1" wp14:editId="71E6FF5D">
                  <wp:extent cx="1390650" cy="11239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854092" w14:textId="77777777" w:rsidR="000A7ADD" w:rsidRDefault="000A7ADD" w:rsidP="0088012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C5D32" w14:paraId="5F47A1D8" w14:textId="77777777" w:rsidTr="00387494">
        <w:tc>
          <w:tcPr>
            <w:tcW w:w="6198" w:type="dxa"/>
            <w:gridSpan w:val="2"/>
          </w:tcPr>
          <w:p w14:paraId="09DAF9E1" w14:textId="77777777" w:rsidR="000A7ADD" w:rsidRPr="000A7ADD" w:rsidRDefault="000A7ADD" w:rsidP="000A7AD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A7ADD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ШАГ 1.B. ВЕНОЗНАЯ ЦЕЛЬНАЯ КРОВЬ</w:t>
            </w:r>
          </w:p>
          <w:p w14:paraId="30B0DB58" w14:textId="77777777" w:rsidR="000A7ADD" w:rsidRPr="000A7ADD" w:rsidRDefault="000A7ADD" w:rsidP="000A7ADD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</w:pP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1. Используя стандартные процедуры пункции вены, получите образец цельной крови в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пробирку, содержащую любой из следующих антикоагулянтов: ЭДТА, гепарин натрия или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цитрат натрия. </w:t>
            </w:r>
            <w:r w:rsidRPr="000A7ADD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Другие антикоагулянты не испытывались и могут повлиять на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0A7ADD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правильность результатов. 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Если образцы не тестируются в момент забора крови,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цельная кровь может храниться при температуре 2–30 ºC (36–86 ºF) до 5 суток. Перед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тестированием осторожно перемешайте кровь в пробирке, несколько раз перевернув ее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для получения гомогенного образца.</w:t>
            </w:r>
          </w:p>
          <w:p w14:paraId="0BDB9810" w14:textId="77777777" w:rsidR="000A7ADD" w:rsidRPr="000A7ADD" w:rsidRDefault="000A7ADD" w:rsidP="000A7ADD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</w:pP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2. Возьмите неиспользованную петлю для забора образцов (далее — </w:t>
            </w:r>
            <w:r w:rsidRPr="000A7ADD">
              <w:rPr>
                <w:rFonts w:ascii="Cambria Math" w:eastAsia="MyriadPro-LightCond" w:hAnsi="Cambria Math" w:cs="Cambria Math"/>
                <w:sz w:val="28"/>
                <w:szCs w:val="28"/>
                <w:lang w:eastAsia="en-US"/>
              </w:rPr>
              <w:t>≪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петля</w:t>
            </w:r>
            <w:r w:rsidRPr="000A7ADD">
              <w:rPr>
                <w:rFonts w:ascii="Cambria Math" w:eastAsia="MyriadPro-LightCond" w:hAnsi="Cambria Math" w:cs="Cambria Math"/>
                <w:sz w:val="28"/>
                <w:szCs w:val="28"/>
                <w:lang w:eastAsia="en-US"/>
              </w:rPr>
              <w:t>≫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) за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утолщенную рукоятку (</w:t>
            </w:r>
            <w:r w:rsidRPr="000A7ADD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см. рисунок 14 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). Поместите закругленный конец петли в пробирку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с кровью (</w:t>
            </w:r>
            <w:r w:rsidRPr="000A7ADD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см. рисунок 15 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). Убедитесь, что петля полностью заполнилась кровью (</w:t>
            </w:r>
            <w:r w:rsidRPr="000A7ADD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/>
              </w:rPr>
              <w:t>см.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0A7ADD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рисунок 16 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). ПРИМЕЧАНИЕ. При падении петли или при ее контакте с какой-либо другой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поверхностью утилизируйте ее, используя контейнер для биологически опасных отходов.</w:t>
            </w:r>
          </w:p>
          <w:p w14:paraId="0265502B" w14:textId="77777777" w:rsidR="000A7ADD" w:rsidRDefault="000A7ADD" w:rsidP="000A7ADD">
            <w:pPr>
              <w:jc w:val="both"/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</w:pP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Возьмите новую петлю для забора образца крови.</w:t>
            </w:r>
          </w:p>
          <w:p w14:paraId="03C13780" w14:textId="77777777" w:rsidR="000A7ADD" w:rsidRDefault="000A7ADD" w:rsidP="000A7ADD">
            <w:pPr>
              <w:jc w:val="both"/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</w:pPr>
          </w:p>
          <w:p w14:paraId="267ACD9F" w14:textId="77777777" w:rsidR="000A7ADD" w:rsidRDefault="000A7ADD" w:rsidP="000A7ADD">
            <w:pPr>
              <w:jc w:val="both"/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</w:pPr>
          </w:p>
          <w:p w14:paraId="502F05FF" w14:textId="77777777" w:rsidR="000A7ADD" w:rsidRPr="000A7ADD" w:rsidRDefault="000A7ADD" w:rsidP="000A7A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9" w:type="dxa"/>
          </w:tcPr>
          <w:p w14:paraId="3705EFE6" w14:textId="77777777" w:rsidR="000A7ADD" w:rsidRDefault="000A7ADD" w:rsidP="000A7ADD">
            <w:pPr>
              <w:jc w:val="both"/>
            </w:pPr>
          </w:p>
          <w:p w14:paraId="79D12E0E" w14:textId="77777777" w:rsidR="000A7ADD" w:rsidRDefault="000A7ADD" w:rsidP="000A7ADD">
            <w:pPr>
              <w:jc w:val="both"/>
            </w:pPr>
          </w:p>
          <w:p w14:paraId="68E0D7AE" w14:textId="77777777" w:rsidR="000A7ADD" w:rsidRDefault="000A7ADD" w:rsidP="000A7ADD">
            <w:pPr>
              <w:jc w:val="both"/>
            </w:pPr>
          </w:p>
          <w:p w14:paraId="14BF0D26" w14:textId="77777777" w:rsidR="000A7ADD" w:rsidRDefault="000A7ADD" w:rsidP="000A7ADD">
            <w:pPr>
              <w:jc w:val="both"/>
            </w:pPr>
          </w:p>
          <w:p w14:paraId="0068239B" w14:textId="77777777" w:rsidR="000A7ADD" w:rsidRDefault="00013D61" w:rsidP="000A7ADD">
            <w:pPr>
              <w:jc w:val="both"/>
            </w:pPr>
            <w:r>
              <w:rPr>
                <w:noProof/>
              </w:rPr>
              <w:drawing>
                <wp:inline distT="0" distB="0" distL="0" distR="0" wp14:anchorId="45DF7428" wp14:editId="2877EAD7">
                  <wp:extent cx="1381125" cy="1123950"/>
                  <wp:effectExtent l="0" t="0" r="952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2A98A6" w14:textId="77777777" w:rsidR="000A7ADD" w:rsidRDefault="00013D61" w:rsidP="000A7ADD">
            <w:pPr>
              <w:jc w:val="both"/>
            </w:pPr>
            <w:r>
              <w:rPr>
                <w:noProof/>
              </w:rPr>
              <w:drawing>
                <wp:inline distT="0" distB="0" distL="0" distR="0" wp14:anchorId="1B78F873" wp14:editId="0AE00C0D">
                  <wp:extent cx="1381125" cy="1114425"/>
                  <wp:effectExtent l="0" t="0" r="9525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2ED9A5" w14:textId="77777777" w:rsidR="000A7ADD" w:rsidRDefault="00013D61" w:rsidP="000A7ADD">
            <w:pPr>
              <w:jc w:val="both"/>
            </w:pPr>
            <w:r>
              <w:rPr>
                <w:noProof/>
              </w:rPr>
              <w:drawing>
                <wp:inline distT="0" distB="0" distL="0" distR="0" wp14:anchorId="503B1202" wp14:editId="052EB4EA">
                  <wp:extent cx="1381125" cy="1085850"/>
                  <wp:effectExtent l="0" t="0" r="952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605FC9" w14:textId="77777777" w:rsidR="000A7ADD" w:rsidRPr="000A7ADD" w:rsidRDefault="000A7ADD" w:rsidP="000A7A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7ADD" w14:paraId="0FC0849C" w14:textId="77777777" w:rsidTr="00387494">
        <w:tc>
          <w:tcPr>
            <w:tcW w:w="6198" w:type="dxa"/>
            <w:gridSpan w:val="2"/>
          </w:tcPr>
          <w:p w14:paraId="5A18D72D" w14:textId="77777777" w:rsidR="000A7ADD" w:rsidRPr="000A7ADD" w:rsidRDefault="000A7ADD" w:rsidP="000A7AD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A7ADD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ШАГ 1.C. ПЛАЗМА</w:t>
            </w:r>
          </w:p>
          <w:p w14:paraId="0603AEEB" w14:textId="77777777" w:rsidR="000A7ADD" w:rsidRPr="000A7ADD" w:rsidRDefault="000A7ADD" w:rsidP="000A7ADD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</w:pP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1. Используя стандартные процедуры пункции вены, получите образец цельной крови в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пробирку, содержащую антикоагулянт ЭДТА. Другие антикоагулянты не испытывались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и могут повлиять на правильность результатов. Если образцы не тестируются при их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получении, образец может храниться в виде цельной крови до 5 суток при 2–30 ºC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(36–86 ºF) или в виде плазмы до 7 суток при 2–8 ºC (36–46 ºF).</w:t>
            </w:r>
          </w:p>
          <w:p w14:paraId="565A317B" w14:textId="77777777" w:rsidR="000A7ADD" w:rsidRPr="000A7ADD" w:rsidRDefault="000A7ADD" w:rsidP="000A7ADD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</w:pP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2. Возьмите неиспользованную петлю для забора 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lastRenderedPageBreak/>
              <w:t xml:space="preserve">образцов (далее — </w:t>
            </w:r>
            <w:r w:rsidRPr="000A7ADD">
              <w:rPr>
                <w:rFonts w:ascii="Cambria Math" w:eastAsia="MyriadPro-LightCond" w:hAnsi="Cambria Math" w:cs="Cambria Math"/>
                <w:sz w:val="28"/>
                <w:szCs w:val="28"/>
                <w:lang w:eastAsia="en-US"/>
              </w:rPr>
              <w:t>≪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петля</w:t>
            </w:r>
            <w:r w:rsidRPr="000A7ADD">
              <w:rPr>
                <w:rFonts w:ascii="Cambria Math" w:eastAsia="MyriadPro-LightCond" w:hAnsi="Cambria Math" w:cs="Cambria Math"/>
                <w:sz w:val="28"/>
                <w:szCs w:val="28"/>
                <w:lang w:eastAsia="en-US"/>
              </w:rPr>
              <w:t>≫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) за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утолщенную рукоятку (</w:t>
            </w:r>
            <w:r w:rsidRPr="000A7ADD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см. рисунок 17 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). Поместите закругленный конец петли в пробирку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с плазмой (</w:t>
            </w:r>
            <w:r w:rsidRPr="000A7ADD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см. рисунок 18 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). Убедитесь, что петля полностью заполнилась плазмой (</w:t>
            </w:r>
            <w:r w:rsidRPr="000A7ADD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/>
              </w:rPr>
              <w:t>см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A7ADD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рисунок 19 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). ПРИМЕЧАНИЕ. При падении петли или при ее контакте с какой-либо другой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поверхностью утилизируйте ее, используя контейнер для биологически опасных отходов.</w:t>
            </w:r>
          </w:p>
          <w:p w14:paraId="5D2919CB" w14:textId="77777777" w:rsidR="000A7ADD" w:rsidRDefault="000A7ADD" w:rsidP="000A7ADD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</w:pPr>
            <w:r w:rsidRPr="000A7ADD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Возьмите новую петлю для забора образца плазмы.</w:t>
            </w:r>
          </w:p>
          <w:p w14:paraId="0CCF5FFC" w14:textId="77777777" w:rsidR="00AC5D32" w:rsidRDefault="00AC5D32" w:rsidP="000A7ADD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</w:pPr>
          </w:p>
          <w:p w14:paraId="0AA1F4DB" w14:textId="77777777" w:rsidR="00AC5D32" w:rsidRPr="000A7ADD" w:rsidRDefault="00AC5D32" w:rsidP="000A7AD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89" w:type="dxa"/>
          </w:tcPr>
          <w:p w14:paraId="023B32C7" w14:textId="77777777" w:rsidR="000A7ADD" w:rsidRDefault="000A7ADD" w:rsidP="000A7A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7BF21" w14:textId="77777777" w:rsidR="00AC5D32" w:rsidRDefault="00AC5D32" w:rsidP="000A7A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C2FBB" w14:textId="77777777" w:rsidR="00AC5D32" w:rsidRDefault="00013D61" w:rsidP="000A7ADD">
            <w:pPr>
              <w:jc w:val="both"/>
            </w:pPr>
            <w:r>
              <w:rPr>
                <w:noProof/>
              </w:rPr>
              <w:drawing>
                <wp:inline distT="0" distB="0" distL="0" distR="0" wp14:anchorId="6BDF34D8" wp14:editId="6CFB3961">
                  <wp:extent cx="1390650" cy="112395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8FE224" w14:textId="77777777" w:rsidR="00AC5D32" w:rsidRDefault="00013D61" w:rsidP="000A7ADD">
            <w:pPr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 wp14:anchorId="7CD52244" wp14:editId="1790776D">
                  <wp:extent cx="1352550" cy="10858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E34450" w14:textId="77777777" w:rsidR="00AC5D32" w:rsidRPr="000A7ADD" w:rsidRDefault="00013D61" w:rsidP="000A7A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C4259A8" wp14:editId="38763954">
                  <wp:extent cx="1343025" cy="1104900"/>
                  <wp:effectExtent l="0" t="0" r="952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ADD" w14:paraId="01B03BD5" w14:textId="77777777" w:rsidTr="00387494">
        <w:tc>
          <w:tcPr>
            <w:tcW w:w="6198" w:type="dxa"/>
            <w:gridSpan w:val="2"/>
          </w:tcPr>
          <w:p w14:paraId="67AC1C73" w14:textId="77777777" w:rsidR="00AC5D32" w:rsidRPr="00AC5D32" w:rsidRDefault="00AC5D32" w:rsidP="00AC5D3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5D3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lastRenderedPageBreak/>
              <w:t>ШАГ 2. ПЕРЕМЕШИВАНИЕ</w:t>
            </w:r>
          </w:p>
          <w:p w14:paraId="50CC686E" w14:textId="77777777" w:rsidR="00AC5D32" w:rsidRPr="00AC5D32" w:rsidRDefault="00AC5D32" w:rsidP="00AC5D32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</w:pP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1. Немедленно полностью погрузите заполненный кровью конец петли во флакон (с</w:t>
            </w:r>
            <w:r w:rsidRPr="00AC5D3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/>
              </w:rPr>
              <w:t>м.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AC5D3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рисунок 20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). Используйте петлю, чтобы размешать образец крови в проявляющем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растворе (далее — </w:t>
            </w:r>
            <w:r w:rsidRPr="00AC5D32">
              <w:rPr>
                <w:rFonts w:ascii="Cambria Math" w:eastAsia="MyriadPro-LightCond" w:hAnsi="Cambria Math" w:cs="Cambria Math"/>
                <w:sz w:val="28"/>
                <w:szCs w:val="28"/>
                <w:lang w:eastAsia="en-US"/>
              </w:rPr>
              <w:t>≪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раствор</w:t>
            </w:r>
            <w:r w:rsidRPr="00AC5D32">
              <w:rPr>
                <w:rFonts w:ascii="Cambria Math" w:eastAsia="MyriadPro-LightCond" w:hAnsi="Cambria Math" w:cs="Cambria Math"/>
                <w:sz w:val="28"/>
                <w:szCs w:val="28"/>
                <w:lang w:eastAsia="en-US"/>
              </w:rPr>
              <w:t>≫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) (</w:t>
            </w:r>
            <w:r w:rsidRPr="00AC5D3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см. рисунок 21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). Извлеките использованную петлю из</w:t>
            </w:r>
          </w:p>
          <w:p w14:paraId="4CCF1914" w14:textId="77777777" w:rsidR="000A7ADD" w:rsidRPr="00AC5D32" w:rsidRDefault="00AC5D32" w:rsidP="00AC5D3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раствора. Выбросьте использованную петлю в контейнер для биологически опасных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отходов.</w:t>
            </w:r>
          </w:p>
        </w:tc>
        <w:tc>
          <w:tcPr>
            <w:tcW w:w="3089" w:type="dxa"/>
          </w:tcPr>
          <w:p w14:paraId="4001FB4B" w14:textId="77777777" w:rsidR="000A7ADD" w:rsidRDefault="00013D61" w:rsidP="00AC5D32">
            <w:pPr>
              <w:jc w:val="both"/>
            </w:pPr>
            <w:r>
              <w:rPr>
                <w:noProof/>
              </w:rPr>
              <w:drawing>
                <wp:inline distT="0" distB="0" distL="0" distR="0" wp14:anchorId="2A82274E" wp14:editId="5E2AA25E">
                  <wp:extent cx="1343025" cy="1104900"/>
                  <wp:effectExtent l="0" t="0" r="952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123CB9" w14:textId="77777777" w:rsidR="00AC5D32" w:rsidRPr="00AC5D32" w:rsidRDefault="00013D61" w:rsidP="00AC5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4A3D17B" wp14:editId="3BA833A6">
                  <wp:extent cx="1323975" cy="1028700"/>
                  <wp:effectExtent l="0" t="0" r="952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D32" w14:paraId="353DC954" w14:textId="77777777" w:rsidTr="00387494">
        <w:tc>
          <w:tcPr>
            <w:tcW w:w="6198" w:type="dxa"/>
            <w:gridSpan w:val="2"/>
          </w:tcPr>
          <w:p w14:paraId="60F41DD0" w14:textId="77777777" w:rsidR="00AC5D32" w:rsidRPr="00AC5D32" w:rsidRDefault="00AC5D32" w:rsidP="00AC5D3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5D3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ШАГ 3. ТЕСТ</w:t>
            </w:r>
          </w:p>
          <w:p w14:paraId="1028A0B1" w14:textId="77777777" w:rsidR="00AC5D32" w:rsidRPr="00AC5D32" w:rsidRDefault="00AC5D32" w:rsidP="00AC5D32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</w:pP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1. Возьмите тест-устройство и извлеките его из пакета, не касаясь подушечки для забора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образца (</w:t>
            </w:r>
            <w:r w:rsidRPr="00AC5D3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см. рисунок 22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). </w:t>
            </w:r>
            <w:r w:rsidRPr="00AC5D3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Убедитесь, что абсорбирующий пакет вложен в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AC5D3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упаковку. Если абсорбирующий пакет отсутствует, тест-система не подлежит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AC5D3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использованию.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Полностью вставьте конец с подушечкой для забора образца во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флакон (</w:t>
            </w:r>
            <w:r w:rsidRPr="00AC5D3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см. рисунок 23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). Следите, чтобы окно результатов было направлено вперед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для удобства считывания результатов (</w:t>
            </w:r>
            <w:r w:rsidRPr="00AC5D3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см. рисунок 24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). Включите таймер или запишите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время. Не извлекайте тест-устройство из флакона в течение процесса проявления.</w:t>
            </w:r>
          </w:p>
          <w:p w14:paraId="01A94E8B" w14:textId="77777777" w:rsidR="00AC5D32" w:rsidRPr="00AC5D32" w:rsidRDefault="00AC5D32" w:rsidP="00AC5D3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2. </w:t>
            </w:r>
            <w:r w:rsidRPr="00AC5D3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Результаты следует считывать не ранее 20 минут, но не позже 40 минут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AC5D3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после погружения устройства во флакон с буфером.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Запишите результаты,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которые проявились в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lastRenderedPageBreak/>
              <w:t>окне результатов (см. разделы Интерпретация результатов и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Ограничения анализа ниже), затем выбросьте тест-устройство и флакон с проявляющим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раствором в контейнер для биологически опасных отходов.</w:t>
            </w:r>
          </w:p>
        </w:tc>
        <w:tc>
          <w:tcPr>
            <w:tcW w:w="3089" w:type="dxa"/>
          </w:tcPr>
          <w:p w14:paraId="5736CC5D" w14:textId="77777777" w:rsidR="00AC5D32" w:rsidRDefault="00AC5D32" w:rsidP="00AC5D32">
            <w:pPr>
              <w:jc w:val="both"/>
            </w:pPr>
          </w:p>
          <w:p w14:paraId="6C4AE985" w14:textId="77777777" w:rsidR="00AC5D32" w:rsidRDefault="00AC5D32" w:rsidP="00AC5D32">
            <w:pPr>
              <w:jc w:val="both"/>
            </w:pPr>
          </w:p>
          <w:p w14:paraId="10ED818A" w14:textId="77777777" w:rsidR="00AC5D32" w:rsidRDefault="00AC5D32" w:rsidP="00AC5D32">
            <w:pPr>
              <w:jc w:val="both"/>
            </w:pPr>
          </w:p>
          <w:p w14:paraId="028F461B" w14:textId="77777777" w:rsidR="00AC5D32" w:rsidRDefault="00AC5D32" w:rsidP="00AC5D32">
            <w:pPr>
              <w:jc w:val="both"/>
            </w:pPr>
          </w:p>
          <w:p w14:paraId="4D812B69" w14:textId="77777777" w:rsidR="00AC5D32" w:rsidRDefault="00013D61" w:rsidP="00AC5D32">
            <w:pPr>
              <w:jc w:val="both"/>
            </w:pPr>
            <w:r>
              <w:rPr>
                <w:noProof/>
              </w:rPr>
              <w:drawing>
                <wp:inline distT="0" distB="0" distL="0" distR="0" wp14:anchorId="3ED24A96" wp14:editId="248429D2">
                  <wp:extent cx="1266825" cy="1047750"/>
                  <wp:effectExtent l="0" t="0" r="952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6B3E6D" w14:textId="77777777" w:rsidR="00AC5D32" w:rsidRDefault="00013D61" w:rsidP="00AC5D32">
            <w:pPr>
              <w:jc w:val="both"/>
            </w:pPr>
            <w:r>
              <w:rPr>
                <w:noProof/>
              </w:rPr>
              <w:drawing>
                <wp:inline distT="0" distB="0" distL="0" distR="0" wp14:anchorId="7D452225" wp14:editId="603BE2DF">
                  <wp:extent cx="1343025" cy="1085850"/>
                  <wp:effectExtent l="0" t="0" r="9525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46BFEE" w14:textId="77777777" w:rsidR="00AC5D32" w:rsidRPr="00AC5D32" w:rsidRDefault="00013D61" w:rsidP="00AC5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47B618C" wp14:editId="3C5A1E36">
                  <wp:extent cx="1323975" cy="1057275"/>
                  <wp:effectExtent l="0" t="0" r="9525" b="952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D32" w14:paraId="369FA71D" w14:textId="77777777" w:rsidTr="00387494">
        <w:tc>
          <w:tcPr>
            <w:tcW w:w="5637" w:type="dxa"/>
          </w:tcPr>
          <w:p w14:paraId="1E617A61" w14:textId="77777777" w:rsidR="00AC5D32" w:rsidRPr="00AC5D32" w:rsidRDefault="00AC5D32" w:rsidP="00AC5D3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5D3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КОНТРОЛЬ КАЧЕСТВА</w:t>
            </w:r>
          </w:p>
          <w:p w14:paraId="1CA09B74" w14:textId="77777777" w:rsidR="00AC5D32" w:rsidRPr="00AC5D32" w:rsidRDefault="00AC5D32" w:rsidP="00AC5D32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</w:pP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Контрольная линия в зоне С окна результатов указывает на достоверность полученных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результатов. Достоверный результат означает, что забранный образец пригоден к использованию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и что тест-система работает должным образом. Контрольная линия проявляется на всех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достоверных тестах независимо от того, положительный или отрицательный результат показал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тест. (См. приведенный ниже раздел Интерпретация результатов).</w:t>
            </w:r>
          </w:p>
          <w:p w14:paraId="58787E2A" w14:textId="77777777" w:rsidR="00AC5D32" w:rsidRPr="00AC5D32" w:rsidRDefault="00AC5D32" w:rsidP="00AC5D32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</w:pP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Стандартные контрольные реагенты приобретаются отдельно. Они используются в качестве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процедурного контроля работоспособности тест-системы. Процедурный контроль должен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проводиться раз в смену лицом, ответственным за выполнение теста, а также каждый раз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в начале использования новой партии тест-систем. Инструкции по использованию см. в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листе-вкладыше к контрольным реагентам.</w:t>
            </w:r>
          </w:p>
          <w:p w14:paraId="218D06F9" w14:textId="77777777" w:rsidR="00AC5D32" w:rsidRPr="00AC5D32" w:rsidRDefault="00AC5D32" w:rsidP="00AC5D32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</w:pPr>
            <w:r w:rsidRPr="00AC5D3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ИНТЕРПРЕТАЦИЯ РЕЗУЛЬТАТОВ —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см. на окно результатов</w:t>
            </w:r>
          </w:p>
          <w:p w14:paraId="3A513FA5" w14:textId="77777777" w:rsidR="00AC5D32" w:rsidRPr="00AC5D32" w:rsidRDefault="00AC5D32" w:rsidP="00AC5D32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</w:pPr>
            <w:r w:rsidRPr="00AC5D3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ОТРИЦАТЕЛЬНЫЙ РЕЗУЛЬТАТ —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проявилась только контрольная линия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5A0377D4" w14:textId="77777777" w:rsidR="00AC5D32" w:rsidRPr="00AC5D32" w:rsidRDefault="00AC5D32" w:rsidP="00AC5D32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</w:pP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Если на тест-полоске проявилась только одна линия напротив треугольника с маркировкой С, результат теста считается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C5D3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отрицательным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. На рисунке справа показан пример отрицательного результата теста. Этот результат означает, что в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образце </w:t>
            </w:r>
            <w:r w:rsidRPr="00AC5D32">
              <w:rPr>
                <w:rFonts w:ascii="Times New Roman" w:eastAsia="MyriadPro-LightCond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отсутствуют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антитела к ВИЧ.</w:t>
            </w:r>
          </w:p>
          <w:p w14:paraId="5218E684" w14:textId="77777777" w:rsidR="00AC5D32" w:rsidRPr="00AC5D32" w:rsidRDefault="00AC5D32" w:rsidP="00AC5D32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</w:pP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Примечание: </w:t>
            </w:r>
            <w:r w:rsidRPr="00AC5D32">
              <w:rPr>
                <w:rFonts w:ascii="Times New Roman" w:eastAsia="MyriadPro-LightCond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отрицательный результат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получается при использовании отрицательного контроля (см. лист-вкладыш к контрольным реагентам OraQuick </w:t>
            </w:r>
            <w:r w:rsidRPr="00AC5D32">
              <w:rPr>
                <w:rFonts w:ascii="Times New Roman" w:eastAsia="MyriadPro-LightCond" w:hAnsi="Times New Roman" w:cs="Times New Roman"/>
                <w:i/>
                <w:iCs/>
                <w:sz w:val="28"/>
                <w:szCs w:val="28"/>
                <w:lang w:eastAsia="en-US"/>
              </w:rPr>
              <w:t>ADVANCE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® HIV-1/2).</w:t>
            </w:r>
          </w:p>
          <w:p w14:paraId="20504260" w14:textId="77777777" w:rsidR="00AC5D32" w:rsidRPr="00AC5D32" w:rsidRDefault="00AC5D32" w:rsidP="00AC5D32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</w:pPr>
            <w:r w:rsidRPr="00AC5D32">
              <w:rPr>
                <w:rFonts w:ascii="Times New Roman" w:eastAsia="MyriadPro-LightCond" w:hAnsi="Times New Roman" w:cs="Times New Roman"/>
                <w:b/>
                <w:bCs/>
                <w:sz w:val="28"/>
                <w:szCs w:val="28"/>
                <w:lang w:eastAsia="en-US"/>
              </w:rPr>
              <w:lastRenderedPageBreak/>
              <w:t xml:space="preserve">ПОЛОЖИТЕЛЬНЫЙ РЕЗУЛЬТАТ —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проявились две линии</w:t>
            </w:r>
          </w:p>
          <w:p w14:paraId="420F3058" w14:textId="77777777" w:rsidR="00AC5D32" w:rsidRPr="00AC5D32" w:rsidRDefault="00AC5D32" w:rsidP="00AC5D32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</w:pP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Если на тест-полоске проявились две линии напротив треугольников с маркировками Т и С соответственно, результат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теста считается </w:t>
            </w:r>
            <w:r w:rsidRPr="00AC5D32">
              <w:rPr>
                <w:rFonts w:ascii="Times New Roman" w:eastAsia="MyriadPro-LightCond" w:hAnsi="Times New Roman" w:cs="Times New Roman"/>
                <w:b/>
                <w:bCs/>
                <w:sz w:val="28"/>
                <w:szCs w:val="28"/>
                <w:lang w:eastAsia="en-US"/>
              </w:rPr>
              <w:t>положительным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. Одна из этих линий может быть ярче, чем другая. Справа показаны примеры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положительных результатов, которые означают, что в образце </w:t>
            </w:r>
            <w:r w:rsidRPr="00AC5D32">
              <w:rPr>
                <w:rFonts w:ascii="Times New Roman" w:eastAsia="MyriadPro-LightCond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присутствуют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антитела к ВИЧ.</w:t>
            </w:r>
          </w:p>
          <w:p w14:paraId="5BBE8725" w14:textId="77777777" w:rsidR="00AC5D32" w:rsidRPr="00AC5D32" w:rsidRDefault="00AC5D32" w:rsidP="00AC5D32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</w:pP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Положительные результаты должны быть подтверждены с использованием другого метода.</w:t>
            </w:r>
          </w:p>
          <w:p w14:paraId="375374DA" w14:textId="77777777" w:rsidR="00AC5D32" w:rsidRPr="00AC5D32" w:rsidRDefault="00AC5D32" w:rsidP="00AC5D32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</w:pP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Примечание: применение контрольных реагентов </w:t>
            </w:r>
            <w:r w:rsidRPr="00AC5D32">
              <w:rPr>
                <w:rFonts w:ascii="Times New Roman" w:eastAsia="MyriadPro-LightCond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HIV-1 Kit Control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или </w:t>
            </w:r>
            <w:r w:rsidRPr="00AC5D32">
              <w:rPr>
                <w:rFonts w:ascii="Times New Roman" w:eastAsia="MyriadPro-LightCond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HIV-2 Kit Control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дает результат, показанный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на панели в центре (см. лист-вкладыш для контрольных реагентов OraQuick </w:t>
            </w:r>
            <w:r w:rsidRPr="00AC5D32">
              <w:rPr>
                <w:rFonts w:ascii="Times New Roman" w:eastAsia="MyriadPro-LightCond" w:hAnsi="Times New Roman" w:cs="Times New Roman"/>
                <w:i/>
                <w:iCs/>
                <w:sz w:val="28"/>
                <w:szCs w:val="28"/>
                <w:lang w:eastAsia="en-US"/>
              </w:rPr>
              <w:t>ADVANCE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® HIV-1/2).</w:t>
            </w:r>
          </w:p>
          <w:p w14:paraId="17B6A3F1" w14:textId="77777777" w:rsidR="00AC5D32" w:rsidRPr="00AC5D32" w:rsidRDefault="00AC5D32" w:rsidP="00AC5D32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</w:pPr>
            <w:r w:rsidRPr="00AC5D32">
              <w:rPr>
                <w:rFonts w:ascii="Times New Roman" w:eastAsia="MyriadPro-LightCond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НЕДОСТОВЕРНЫЙ РЕЗУЛЬТАТ —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линия не проявилась в зоне С окна результатов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54BC18BC" w14:textId="77777777" w:rsidR="00AC5D32" w:rsidRPr="00AC5D32" w:rsidRDefault="00AC5D32" w:rsidP="00AC5D3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Если в зоне с маркировкой С линия не проявилась, то результат теста считается </w:t>
            </w:r>
            <w:r w:rsidRPr="00AC5D32">
              <w:rPr>
                <w:rFonts w:ascii="Times New Roman" w:eastAsia="MyriadPro-LightCond" w:hAnsi="Times New Roman" w:cs="Times New Roman"/>
                <w:b/>
                <w:bCs/>
                <w:sz w:val="28"/>
                <w:szCs w:val="28"/>
                <w:lang w:eastAsia="en-US"/>
              </w:rPr>
              <w:t>недостоверным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. При получении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недостоверного результата тест следует повторить на новом тест-устройстве. Если недостоверный результат был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получен на образце околодесенной жидкости, повторный тест выполните на образце крови. Справа приведены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примеры недостоверных результатов теста. Если тест требуется выполнить повторно, используйте новую петлю для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C5D32"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забора образца, новое тест-устройство и новый флакон проявляющего раствора</w:t>
            </w:r>
            <w:r>
              <w:rPr>
                <w:rFonts w:ascii="Times New Roman" w:eastAsia="MyriadPro-LightCond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50" w:type="dxa"/>
            <w:gridSpan w:val="2"/>
          </w:tcPr>
          <w:p w14:paraId="4F0DC960" w14:textId="77777777" w:rsidR="00AC5D32" w:rsidRDefault="00AC5D32" w:rsidP="00387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F342FC" w14:textId="77777777" w:rsidR="00387494" w:rsidRDefault="00387494" w:rsidP="00387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DB8F4" w14:textId="77777777" w:rsidR="00387494" w:rsidRDefault="00013D61" w:rsidP="0038749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45DC40" wp14:editId="5B1F6CE6">
                  <wp:extent cx="1428750" cy="1666875"/>
                  <wp:effectExtent l="0" t="0" r="0" b="952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8D48B2" w14:textId="77777777" w:rsidR="00387494" w:rsidRDefault="00387494" w:rsidP="00387494">
            <w:pPr>
              <w:jc w:val="center"/>
            </w:pPr>
          </w:p>
          <w:p w14:paraId="322ACF9F" w14:textId="77777777" w:rsidR="00387494" w:rsidRDefault="00013D61" w:rsidP="0038749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A191BD" wp14:editId="5460E5DD">
                  <wp:extent cx="1047750" cy="165735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6BE360" w14:textId="77777777" w:rsidR="00387494" w:rsidRDefault="00013D61" w:rsidP="0038749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5F1FD6" wp14:editId="70551255">
                  <wp:extent cx="914400" cy="161925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FEA0D5" w14:textId="77777777" w:rsidR="00387494" w:rsidRDefault="00013D61" w:rsidP="0038749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AD2C8F" wp14:editId="30933029">
                  <wp:extent cx="923925" cy="1762125"/>
                  <wp:effectExtent l="0" t="0" r="9525" b="952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17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6CE5BE" w14:textId="77777777" w:rsidR="00387494" w:rsidRDefault="00013D61" w:rsidP="00387494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19AB4FF1" wp14:editId="5C26891F">
                  <wp:extent cx="952500" cy="177165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77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B6861C" w14:textId="77777777" w:rsidR="00387494" w:rsidRDefault="00013D61" w:rsidP="0038749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67496C" wp14:editId="0E7881F0">
                  <wp:extent cx="971550" cy="1819275"/>
                  <wp:effectExtent l="0" t="0" r="0" b="952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43C315" w14:textId="77777777" w:rsidR="00387494" w:rsidRPr="00AC5D32" w:rsidRDefault="00013D61" w:rsidP="00387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01D9586" wp14:editId="49FE1E81">
                  <wp:extent cx="1057275" cy="1914525"/>
                  <wp:effectExtent l="0" t="0" r="9525" b="9525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DADD00" w14:textId="77777777" w:rsidR="00387494" w:rsidRDefault="00387494" w:rsidP="0038749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85D1E31" w14:textId="77777777" w:rsidR="005D198A" w:rsidRPr="005D198A" w:rsidRDefault="005D198A" w:rsidP="005D198A">
      <w:pPr>
        <w:pStyle w:val="a9"/>
        <w:rPr>
          <w:rFonts w:ascii="Times New Roman" w:hAnsi="Times New Roman"/>
          <w:b/>
          <w:sz w:val="28"/>
          <w:szCs w:val="28"/>
          <w:lang w:val="ru-RU"/>
        </w:rPr>
      </w:pPr>
      <w:r w:rsidRPr="005D198A">
        <w:rPr>
          <w:rFonts w:ascii="Times New Roman" w:hAnsi="Times New Roman"/>
          <w:b/>
          <w:sz w:val="28"/>
          <w:szCs w:val="28"/>
          <w:lang w:val="ru-RU"/>
        </w:rPr>
        <w:t>Условия хранения:</w:t>
      </w:r>
    </w:p>
    <w:p w14:paraId="075C2BCD" w14:textId="77777777" w:rsidR="005D198A" w:rsidRPr="005D198A" w:rsidRDefault="005D198A" w:rsidP="005D198A">
      <w:pPr>
        <w:pStyle w:val="a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D198A">
        <w:rPr>
          <w:rFonts w:ascii="Times New Roman" w:eastAsia="Times New Roman" w:hAnsi="Times New Roman"/>
          <w:sz w:val="28"/>
          <w:szCs w:val="28"/>
          <w:lang w:val="ru-RU" w:eastAsia="ru-RU"/>
        </w:rPr>
        <w:t>Хранить при температуре от</w:t>
      </w:r>
      <w:r w:rsidRPr="005D198A">
        <w:rPr>
          <w:rFonts w:ascii="Times New Roman" w:hAnsi="Times New Roman"/>
          <w:sz w:val="28"/>
          <w:szCs w:val="28"/>
          <w:lang w:val="ru-RU"/>
        </w:rPr>
        <w:t xml:space="preserve"> +2 до +30 °</w:t>
      </w:r>
      <w:r w:rsidRPr="005D198A">
        <w:rPr>
          <w:rFonts w:ascii="Times New Roman" w:hAnsi="Times New Roman"/>
          <w:sz w:val="28"/>
          <w:szCs w:val="28"/>
        </w:rPr>
        <w:t>C</w:t>
      </w:r>
      <w:r w:rsidRPr="005D198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D198A">
        <w:rPr>
          <w:rStyle w:val="s0"/>
          <w:bCs/>
          <w:sz w:val="28"/>
          <w:szCs w:val="28"/>
          <w:lang w:val="ru-RU"/>
        </w:rPr>
        <w:t>в заводской упаковке.</w:t>
      </w:r>
    </w:p>
    <w:p w14:paraId="7608FD75" w14:textId="77777777" w:rsidR="005D198A" w:rsidRPr="005D198A" w:rsidRDefault="005D198A" w:rsidP="005D198A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1F0753A" w14:textId="77777777" w:rsidR="005D198A" w:rsidRPr="005D198A" w:rsidRDefault="005D198A" w:rsidP="005D198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D19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Срок годности: </w:t>
      </w:r>
      <w:r w:rsidRPr="005D198A">
        <w:rPr>
          <w:rFonts w:ascii="Times New Roman" w:hAnsi="Times New Roman" w:cs="Times New Roman"/>
          <w:color w:val="000000"/>
          <w:sz w:val="28"/>
          <w:szCs w:val="28"/>
        </w:rPr>
        <w:t>30 месяцев.</w:t>
      </w:r>
    </w:p>
    <w:p w14:paraId="10CE1880" w14:textId="77777777" w:rsidR="00387494" w:rsidRDefault="00387494" w:rsidP="0038749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D8EA597" w14:textId="77777777" w:rsidR="00387494" w:rsidRPr="00013D61" w:rsidRDefault="00387494" w:rsidP="003874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</w:t>
      </w:r>
      <w:r w:rsidRPr="002D4DE1">
        <w:rPr>
          <w:rFonts w:ascii="Times New Roman" w:hAnsi="Times New Roman" w:cs="Times New Roman"/>
          <w:b/>
          <w:color w:val="000000"/>
          <w:sz w:val="28"/>
          <w:szCs w:val="28"/>
        </w:rPr>
        <w:t>роизводител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ь</w:t>
      </w:r>
      <w:bookmarkStart w:id="9" w:name="2175220334"/>
      <w:bookmarkEnd w:id="9"/>
    </w:p>
    <w:p w14:paraId="74736972" w14:textId="77777777" w:rsidR="00387494" w:rsidRPr="00013D61" w:rsidRDefault="00387494" w:rsidP="00387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DE1">
        <w:rPr>
          <w:rFonts w:ascii="Times New Roman" w:hAnsi="Times New Roman" w:cs="Times New Roman"/>
          <w:sz w:val="28"/>
          <w:szCs w:val="28"/>
          <w:lang w:val="en-US"/>
        </w:rPr>
        <w:t>OraSure</w:t>
      </w:r>
      <w:r w:rsidRPr="00013D61">
        <w:rPr>
          <w:rFonts w:ascii="Times New Roman" w:hAnsi="Times New Roman" w:cs="Times New Roman"/>
          <w:sz w:val="28"/>
          <w:szCs w:val="28"/>
        </w:rPr>
        <w:t xml:space="preserve"> </w:t>
      </w:r>
      <w:r w:rsidRPr="002D4DE1">
        <w:rPr>
          <w:rFonts w:ascii="Times New Roman" w:hAnsi="Times New Roman" w:cs="Times New Roman"/>
          <w:sz w:val="28"/>
          <w:szCs w:val="28"/>
          <w:lang w:val="en-US"/>
        </w:rPr>
        <w:t>Technologies</w:t>
      </w:r>
      <w:r w:rsidRPr="00013D61">
        <w:rPr>
          <w:rFonts w:ascii="Times New Roman" w:hAnsi="Times New Roman" w:cs="Times New Roman"/>
          <w:sz w:val="28"/>
          <w:szCs w:val="28"/>
        </w:rPr>
        <w:t xml:space="preserve"> </w:t>
      </w:r>
      <w:r w:rsidRPr="002D4DE1">
        <w:rPr>
          <w:rFonts w:ascii="Times New Roman" w:hAnsi="Times New Roman" w:cs="Times New Roman"/>
          <w:sz w:val="28"/>
          <w:szCs w:val="28"/>
          <w:lang w:val="en-US"/>
        </w:rPr>
        <w:t>Inc</w:t>
      </w:r>
      <w:r w:rsidRPr="00013D61">
        <w:rPr>
          <w:rFonts w:ascii="Times New Roman" w:hAnsi="Times New Roman" w:cs="Times New Roman"/>
          <w:sz w:val="28"/>
          <w:szCs w:val="28"/>
        </w:rPr>
        <w:t>.</w:t>
      </w:r>
    </w:p>
    <w:p w14:paraId="0AA12138" w14:textId="77777777" w:rsidR="00387494" w:rsidRPr="00A63537" w:rsidRDefault="00387494" w:rsidP="00387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4DE1">
        <w:rPr>
          <w:rFonts w:ascii="Times New Roman" w:hAnsi="Times New Roman" w:cs="Times New Roman"/>
          <w:sz w:val="28"/>
          <w:szCs w:val="28"/>
          <w:lang w:val="en-US"/>
        </w:rPr>
        <w:t xml:space="preserve">220 East First Street, Bethlehem, PA 18015, </w:t>
      </w:r>
      <w:r w:rsidRPr="002D4DE1">
        <w:rPr>
          <w:rFonts w:ascii="Times New Roman" w:hAnsi="Times New Roman" w:cs="Times New Roman"/>
          <w:sz w:val="28"/>
          <w:szCs w:val="28"/>
        </w:rPr>
        <w:t>США</w:t>
      </w:r>
      <w:r w:rsidRPr="002D4DE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2841CE9" w14:textId="77777777" w:rsidR="00387494" w:rsidRPr="00A63537" w:rsidRDefault="00387494" w:rsidP="00387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155FFFF" w14:textId="77777777" w:rsidR="00387494" w:rsidRPr="002D4DE1" w:rsidRDefault="00387494" w:rsidP="0038749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10" w:name="2175220335"/>
      <w:bookmarkEnd w:id="10"/>
      <w:r w:rsidRPr="002D4DE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Наименование уполномоченного представителя производителя на территории Республики Казахстан и организации, принимающей претензии (предложения) по медицинскому изделию от потребителей на территории Республики Казахстан </w:t>
      </w:r>
    </w:p>
    <w:p w14:paraId="5B4A9BF2" w14:textId="77777777" w:rsidR="00387494" w:rsidRPr="008B6DFB" w:rsidRDefault="00387494" w:rsidP="0038749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2D4DE1">
        <w:rPr>
          <w:rFonts w:ascii="Times New Roman" w:hAnsi="Times New Roman" w:cs="Times New Roman"/>
          <w:bCs/>
          <w:iCs/>
          <w:sz w:val="28"/>
          <w:szCs w:val="28"/>
        </w:rPr>
        <w:t>ТОО</w:t>
      </w:r>
      <w:r w:rsidRPr="008B6DF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r w:rsidRPr="002D4DE1">
        <w:rPr>
          <w:rFonts w:ascii="Times New Roman" w:hAnsi="Times New Roman" w:cs="Times New Roman"/>
          <w:bCs/>
          <w:iCs/>
          <w:sz w:val="28"/>
          <w:szCs w:val="28"/>
          <w:lang w:val="en-US"/>
        </w:rPr>
        <w:t>Rogers</w:t>
      </w:r>
      <w:r w:rsidRPr="008B6DF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r w:rsidRPr="002D4DE1">
        <w:rPr>
          <w:rFonts w:ascii="Times New Roman" w:hAnsi="Times New Roman" w:cs="Times New Roman"/>
          <w:bCs/>
          <w:iCs/>
          <w:sz w:val="28"/>
          <w:szCs w:val="28"/>
          <w:lang w:val="en-US"/>
        </w:rPr>
        <w:t>Pharma</w:t>
      </w:r>
    </w:p>
    <w:p w14:paraId="584D899A" w14:textId="77777777" w:rsidR="00387494" w:rsidRPr="002D4DE1" w:rsidRDefault="00387494" w:rsidP="0038749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6DF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050043, </w:t>
      </w:r>
      <w:r w:rsidRPr="002D4DE1">
        <w:rPr>
          <w:rFonts w:ascii="Times New Roman" w:hAnsi="Times New Roman" w:cs="Times New Roman"/>
          <w:bCs/>
          <w:iCs/>
          <w:sz w:val="28"/>
          <w:szCs w:val="28"/>
        </w:rPr>
        <w:t>г</w:t>
      </w:r>
      <w:r w:rsidRPr="008B6DF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. </w:t>
      </w:r>
      <w:r w:rsidRPr="002D4DE1">
        <w:rPr>
          <w:rFonts w:ascii="Times New Roman" w:hAnsi="Times New Roman" w:cs="Times New Roman"/>
          <w:bCs/>
          <w:iCs/>
          <w:sz w:val="28"/>
          <w:szCs w:val="28"/>
        </w:rPr>
        <w:t>Алматы</w:t>
      </w:r>
      <w:r w:rsidRPr="008B6DF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, </w:t>
      </w:r>
      <w:r w:rsidRPr="002D4DE1">
        <w:rPr>
          <w:rFonts w:ascii="Times New Roman" w:hAnsi="Times New Roman" w:cs="Times New Roman"/>
          <w:bCs/>
          <w:iCs/>
          <w:sz w:val="28"/>
          <w:szCs w:val="28"/>
        </w:rPr>
        <w:t>мкн</w:t>
      </w:r>
      <w:r w:rsidRPr="008B6DF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. </w:t>
      </w:r>
      <w:r w:rsidRPr="002D4DE1">
        <w:rPr>
          <w:rFonts w:ascii="Times New Roman" w:hAnsi="Times New Roman" w:cs="Times New Roman"/>
          <w:bCs/>
          <w:iCs/>
          <w:sz w:val="28"/>
          <w:szCs w:val="28"/>
        </w:rPr>
        <w:t xml:space="preserve">Мирас, </w:t>
      </w:r>
      <w:r w:rsidRPr="002D4DE1">
        <w:rPr>
          <w:rFonts w:ascii="Times New Roman" w:hAnsi="Times New Roman" w:cs="Times New Roman"/>
          <w:sz w:val="28"/>
          <w:szCs w:val="28"/>
        </w:rPr>
        <w:t>д. 157, блок 5, кв. 732</w:t>
      </w:r>
    </w:p>
    <w:p w14:paraId="31A4B376" w14:textId="77777777" w:rsidR="00387494" w:rsidRPr="005079A3" w:rsidRDefault="00387494" w:rsidP="0038749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D4DE1">
        <w:rPr>
          <w:rFonts w:ascii="Times New Roman" w:hAnsi="Times New Roman" w:cs="Times New Roman"/>
          <w:bCs/>
          <w:iCs/>
          <w:sz w:val="28"/>
          <w:szCs w:val="28"/>
        </w:rPr>
        <w:t>Тел</w:t>
      </w:r>
      <w:r w:rsidRPr="005079A3">
        <w:rPr>
          <w:rFonts w:ascii="Times New Roman" w:hAnsi="Times New Roman" w:cs="Times New Roman"/>
          <w:bCs/>
          <w:iCs/>
          <w:sz w:val="28"/>
          <w:szCs w:val="28"/>
        </w:rPr>
        <w:t xml:space="preserve">. (727) 311-81-96/97 </w:t>
      </w:r>
    </w:p>
    <w:p w14:paraId="16857988" w14:textId="77777777" w:rsidR="00387494" w:rsidRPr="0018391B" w:rsidRDefault="00387494" w:rsidP="0038749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2D4DE1">
        <w:rPr>
          <w:rFonts w:ascii="Times New Roman" w:hAnsi="Times New Roman" w:cs="Times New Roman"/>
          <w:bCs/>
          <w:iCs/>
          <w:sz w:val="28"/>
          <w:szCs w:val="28"/>
          <w:lang w:val="en-US"/>
        </w:rPr>
        <w:t>e</w:t>
      </w:r>
      <w:r w:rsidRPr="0018391B">
        <w:rPr>
          <w:rFonts w:ascii="Times New Roman" w:hAnsi="Times New Roman" w:cs="Times New Roman"/>
          <w:bCs/>
          <w:iCs/>
          <w:sz w:val="28"/>
          <w:szCs w:val="28"/>
          <w:lang w:val="en-US"/>
        </w:rPr>
        <w:t>-</w:t>
      </w:r>
      <w:r w:rsidRPr="002D4DE1">
        <w:rPr>
          <w:rFonts w:ascii="Times New Roman" w:hAnsi="Times New Roman" w:cs="Times New Roman"/>
          <w:bCs/>
          <w:iCs/>
          <w:sz w:val="28"/>
          <w:szCs w:val="28"/>
          <w:lang w:val="en-US"/>
        </w:rPr>
        <w:t>mail</w:t>
      </w:r>
      <w:r w:rsidRPr="0018391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: </w:t>
      </w:r>
      <w:hyperlink r:id="rId37" w:history="1">
        <w:r w:rsidRPr="001F050E">
          <w:rPr>
            <w:rStyle w:val="a8"/>
            <w:rFonts w:ascii="Times New Roman" w:hAnsi="Times New Roman" w:cs="Times New Roman"/>
            <w:bCs/>
            <w:iCs/>
            <w:sz w:val="28"/>
            <w:szCs w:val="28"/>
            <w:lang w:val="en-US"/>
          </w:rPr>
          <w:t>office.secretary@rogersgroup.in</w:t>
        </w:r>
      </w:hyperlink>
    </w:p>
    <w:p w14:paraId="19940AB5" w14:textId="77777777" w:rsidR="00387494" w:rsidRPr="0018391B" w:rsidRDefault="00387494" w:rsidP="0038749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</w:p>
    <w:p w14:paraId="5F6B9359" w14:textId="77777777" w:rsidR="00387494" w:rsidRPr="002D4DE1" w:rsidRDefault="00387494" w:rsidP="0038749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D4DE1">
        <w:rPr>
          <w:rFonts w:ascii="Times New Roman" w:hAnsi="Times New Roman" w:cs="Times New Roman"/>
          <w:b/>
          <w:bCs/>
          <w:iCs/>
          <w:sz w:val="28"/>
          <w:szCs w:val="28"/>
        </w:rPr>
        <w:t>Контактное лицо, ответственное за пострегистрационное наблюдение за безопасностью медицинского изделия на территории Республики Казахстан:</w:t>
      </w:r>
    </w:p>
    <w:p w14:paraId="3D00B61E" w14:textId="77777777" w:rsidR="00387494" w:rsidRPr="002D4DE1" w:rsidRDefault="00387494" w:rsidP="00387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DE1">
        <w:rPr>
          <w:rFonts w:ascii="Times New Roman" w:hAnsi="Times New Roman" w:cs="Times New Roman"/>
          <w:sz w:val="28"/>
          <w:szCs w:val="28"/>
        </w:rPr>
        <w:t>Канумуру Ирина</w:t>
      </w:r>
    </w:p>
    <w:p w14:paraId="5F576F3E" w14:textId="77777777" w:rsidR="00387494" w:rsidRPr="002D4DE1" w:rsidRDefault="00387494" w:rsidP="00387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DE1">
        <w:rPr>
          <w:rFonts w:ascii="Times New Roman" w:hAnsi="Times New Roman" w:cs="Times New Roman"/>
          <w:sz w:val="28"/>
          <w:szCs w:val="28"/>
        </w:rPr>
        <w:t>050043, г. Алматы, мкн. Мирас, д. 157, блок 5, кв. 732</w:t>
      </w:r>
    </w:p>
    <w:p w14:paraId="38538F44" w14:textId="77777777" w:rsidR="00387494" w:rsidRPr="002D4DE1" w:rsidRDefault="00387494" w:rsidP="00387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DE1">
        <w:rPr>
          <w:rFonts w:ascii="Times New Roman" w:hAnsi="Times New Roman" w:cs="Times New Roman"/>
          <w:sz w:val="28"/>
          <w:szCs w:val="28"/>
        </w:rPr>
        <w:t>Тел. +7 (727) 311-81-96/97,</w:t>
      </w:r>
    </w:p>
    <w:p w14:paraId="78ABF333" w14:textId="77777777" w:rsidR="00387494" w:rsidRPr="002D4DE1" w:rsidRDefault="00387494" w:rsidP="00387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4DE1">
        <w:rPr>
          <w:rFonts w:ascii="Times New Roman" w:hAnsi="Times New Roman" w:cs="Times New Roman"/>
          <w:sz w:val="28"/>
          <w:szCs w:val="28"/>
        </w:rPr>
        <w:t>Моб</w:t>
      </w:r>
      <w:r w:rsidRPr="002D4DE1">
        <w:rPr>
          <w:rFonts w:ascii="Times New Roman" w:hAnsi="Times New Roman" w:cs="Times New Roman"/>
          <w:sz w:val="28"/>
          <w:szCs w:val="28"/>
          <w:lang w:val="en-US"/>
        </w:rPr>
        <w:t>. +77479911904,</w:t>
      </w:r>
    </w:p>
    <w:p w14:paraId="779DE103" w14:textId="77777777" w:rsidR="00387494" w:rsidRPr="002D4DE1" w:rsidRDefault="00387494" w:rsidP="00387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4DE1">
        <w:rPr>
          <w:rFonts w:ascii="Times New Roman" w:hAnsi="Times New Roman" w:cs="Times New Roman"/>
          <w:sz w:val="28"/>
          <w:szCs w:val="28"/>
          <w:lang w:val="en-US"/>
        </w:rPr>
        <w:t>e-mail: irina.volovnikova@gmail.com</w:t>
      </w:r>
      <w:r w:rsidRPr="002D4DE1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7ECE2918" w14:textId="77777777" w:rsidR="00387494" w:rsidRPr="0018391B" w:rsidRDefault="00387494" w:rsidP="0038749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bookmarkStart w:id="11" w:name="2175220338"/>
      <w:bookmarkEnd w:id="11"/>
    </w:p>
    <w:p w14:paraId="460B8B68" w14:textId="77777777" w:rsidR="00387494" w:rsidRPr="005079A3" w:rsidRDefault="00387494" w:rsidP="003874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DE1">
        <w:rPr>
          <w:rFonts w:ascii="Times New Roman" w:hAnsi="Times New Roman" w:cs="Times New Roman"/>
          <w:b/>
          <w:color w:val="000000"/>
          <w:sz w:val="28"/>
          <w:szCs w:val="28"/>
        </w:rPr>
        <w:t>Данные о выпуске или последнем пересмотре инструкции по медицинскому применению</w:t>
      </w:r>
      <w:r w:rsidRPr="002D4D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3F00134" w14:textId="2931DEA0" w:rsidR="00387494" w:rsidRPr="008B6DFB" w:rsidRDefault="005B699D" w:rsidP="00387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</w:t>
      </w:r>
      <w:r w:rsidR="008B6DFB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="008B6DFB"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.202</w:t>
      </w:r>
      <w:r w:rsidR="008B6DFB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14:paraId="696AFB5C" w14:textId="77777777" w:rsidR="000A7ADD" w:rsidRDefault="000A7ADD" w:rsidP="00880123">
      <w:pPr>
        <w:spacing w:after="0" w:line="240" w:lineRule="auto"/>
        <w:jc w:val="both"/>
        <w:rPr>
          <w:b/>
          <w:sz w:val="28"/>
          <w:szCs w:val="28"/>
        </w:rPr>
      </w:pPr>
    </w:p>
    <w:p w14:paraId="4839DF99" w14:textId="77777777" w:rsidR="00387494" w:rsidRPr="00CA6CC0" w:rsidRDefault="00387494" w:rsidP="00387494">
      <w:pPr>
        <w:rPr>
          <w:bCs/>
          <w:iCs/>
          <w:sz w:val="28"/>
          <w:szCs w:val="28"/>
          <w:lang w:val="en-US"/>
        </w:rPr>
      </w:pPr>
    </w:p>
    <w:p w14:paraId="6F43CEFD" w14:textId="77777777" w:rsidR="00387494" w:rsidRDefault="00387494" w:rsidP="00387494">
      <w:pPr>
        <w:jc w:val="both"/>
        <w:rPr>
          <w:b/>
          <w:bCs/>
          <w:color w:val="000000"/>
          <w:sz w:val="28"/>
          <w:szCs w:val="28"/>
        </w:rPr>
      </w:pPr>
      <w:r w:rsidRPr="00104ABA">
        <w:rPr>
          <w:b/>
          <w:bCs/>
          <w:color w:val="000000"/>
          <w:sz w:val="28"/>
          <w:szCs w:val="28"/>
        </w:rPr>
        <w:t>УСЛОВНЫЕ ОБОЗНАЧЕНИЯ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6769"/>
      </w:tblGrid>
      <w:tr w:rsidR="005D198A" w14:paraId="28DA8BF3" w14:textId="77777777" w:rsidTr="005D198A">
        <w:tc>
          <w:tcPr>
            <w:tcW w:w="2518" w:type="dxa"/>
          </w:tcPr>
          <w:p w14:paraId="1768BB05" w14:textId="77777777" w:rsidR="005D198A" w:rsidRDefault="005D198A" w:rsidP="005D198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64384" behindDoc="0" locked="0" layoutInCell="1" allowOverlap="1" wp14:anchorId="34E51920" wp14:editId="5401A76E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-6562725</wp:posOffset>
                  </wp:positionV>
                  <wp:extent cx="450850" cy="296545"/>
                  <wp:effectExtent l="0" t="0" r="6350" b="8255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296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69" w:type="dxa"/>
          </w:tcPr>
          <w:p w14:paraId="27DB7314" w14:textId="77777777" w:rsidR="005D198A" w:rsidRPr="00A56C19" w:rsidRDefault="005D198A" w:rsidP="00A64E67">
            <w:pPr>
              <w:jc w:val="both"/>
              <w:rPr>
                <w:color w:val="000000"/>
              </w:rPr>
            </w:pPr>
            <w:r w:rsidRPr="00A56C19">
              <w:rPr>
                <w:color w:val="000000"/>
              </w:rPr>
              <w:t xml:space="preserve">Номер партии </w:t>
            </w:r>
          </w:p>
        </w:tc>
      </w:tr>
      <w:tr w:rsidR="005D198A" w14:paraId="32982D96" w14:textId="77777777" w:rsidTr="005D198A">
        <w:tc>
          <w:tcPr>
            <w:tcW w:w="2518" w:type="dxa"/>
          </w:tcPr>
          <w:p w14:paraId="6337C044" w14:textId="77777777" w:rsidR="005D198A" w:rsidRDefault="005D198A" w:rsidP="005D198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noProof/>
              </w:rPr>
              <w:drawing>
                <wp:anchor distT="0" distB="0" distL="114300" distR="114300" simplePos="0" relativeHeight="251666432" behindDoc="0" locked="0" layoutInCell="1" allowOverlap="1" wp14:anchorId="5E8119C0" wp14:editId="19C5BF15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2540</wp:posOffset>
                  </wp:positionV>
                  <wp:extent cx="450215" cy="296545"/>
                  <wp:effectExtent l="0" t="0" r="6985" b="8255"/>
                  <wp:wrapSquare wrapText="bothSides"/>
                  <wp:docPr id="9" name="Рисунок 9" descr="wpid-07_fm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5" descr="wpid-07_fm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69" w:type="dxa"/>
          </w:tcPr>
          <w:p w14:paraId="6CD7EC7B" w14:textId="77777777" w:rsidR="005D198A" w:rsidRPr="005D198A" w:rsidRDefault="005D198A" w:rsidP="0038749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Номер по каталогу</w:t>
            </w:r>
          </w:p>
        </w:tc>
      </w:tr>
      <w:tr w:rsidR="005D198A" w14:paraId="16C21B3A" w14:textId="77777777" w:rsidTr="005D198A">
        <w:tc>
          <w:tcPr>
            <w:tcW w:w="2518" w:type="dxa"/>
          </w:tcPr>
          <w:p w14:paraId="1319938F" w14:textId="77777777" w:rsidR="005D198A" w:rsidRDefault="005D198A" w:rsidP="005D198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5240446C" wp14:editId="068DBB21">
                  <wp:extent cx="313055" cy="296545"/>
                  <wp:effectExtent l="0" t="0" r="0" b="8255"/>
                  <wp:docPr id="8" name="Рисунок 8" descr="wpid-08_fmt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6" descr="wpid-08_fmt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</w:tcPr>
          <w:p w14:paraId="573E940A" w14:textId="77777777" w:rsidR="005D198A" w:rsidRDefault="005D198A" w:rsidP="005D198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56C19">
              <w:rPr>
                <w:rFonts w:eastAsia="Calibri"/>
              </w:rPr>
              <w:t>Внимание! См. сопроводительную</w:t>
            </w:r>
            <w:r>
              <w:rPr>
                <w:rFonts w:eastAsia="Calibri"/>
              </w:rPr>
              <w:t xml:space="preserve"> </w:t>
            </w:r>
            <w:r w:rsidRPr="00A56C19">
              <w:rPr>
                <w:rFonts w:eastAsia="Calibri"/>
              </w:rPr>
              <w:t>документацию</w:t>
            </w:r>
          </w:p>
        </w:tc>
      </w:tr>
      <w:tr w:rsidR="005D198A" w14:paraId="02C7F0E2" w14:textId="77777777" w:rsidTr="005D198A">
        <w:tc>
          <w:tcPr>
            <w:tcW w:w="2518" w:type="dxa"/>
          </w:tcPr>
          <w:p w14:paraId="2F9B4083" w14:textId="77777777" w:rsidR="005D198A" w:rsidRDefault="005D198A" w:rsidP="005D198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noProof/>
              </w:rPr>
              <w:drawing>
                <wp:anchor distT="0" distB="0" distL="114300" distR="114300" simplePos="0" relativeHeight="251667456" behindDoc="1" locked="0" layoutInCell="1" allowOverlap="1" wp14:anchorId="065096F1" wp14:editId="5CBB46A2">
                  <wp:simplePos x="0" y="0"/>
                  <wp:positionH relativeFrom="column">
                    <wp:posOffset>510540</wp:posOffset>
                  </wp:positionH>
                  <wp:positionV relativeFrom="paragraph">
                    <wp:posOffset>0</wp:posOffset>
                  </wp:positionV>
                  <wp:extent cx="337185" cy="320040"/>
                  <wp:effectExtent l="0" t="0" r="5715" b="3810"/>
                  <wp:wrapTight wrapText="bothSides">
                    <wp:wrapPolygon edited="0">
                      <wp:start x="0" y="0"/>
                      <wp:lineTo x="0" y="20571"/>
                      <wp:lineTo x="20746" y="20571"/>
                      <wp:lineTo x="20746" y="0"/>
                      <wp:lineTo x="0" y="0"/>
                    </wp:wrapPolygon>
                  </wp:wrapTight>
                  <wp:docPr id="7" name="Рисунок 7" descr="wpid-15_fm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7" descr="wpid-15_fm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69" w:type="dxa"/>
          </w:tcPr>
          <w:p w14:paraId="72069D28" w14:textId="77777777" w:rsidR="005D198A" w:rsidRDefault="005D198A" w:rsidP="0038749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56C19">
              <w:rPr>
                <w:rFonts w:eastAsia="Calibri"/>
              </w:rPr>
              <w:t>См. инструкции по использованию</w:t>
            </w:r>
          </w:p>
        </w:tc>
      </w:tr>
      <w:tr w:rsidR="005D198A" w14:paraId="48B59F36" w14:textId="77777777" w:rsidTr="005D198A">
        <w:tc>
          <w:tcPr>
            <w:tcW w:w="2518" w:type="dxa"/>
          </w:tcPr>
          <w:p w14:paraId="4B70D090" w14:textId="77777777" w:rsidR="005D198A" w:rsidRDefault="005D198A" w:rsidP="005D198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7919FB4" wp14:editId="48A8709E">
                  <wp:extent cx="332740" cy="320675"/>
                  <wp:effectExtent l="0" t="0" r="0" b="3175"/>
                  <wp:docPr id="6" name="Рисунок 6" descr="http://www.paritet-moscow.ru/images/shov/pack_info/183d443e403c3046384f%203d30%20433f303a3e323a35-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www.paritet-moscow.ru/images/shov/pack_info/183d443e403c3046384f%203d30%20433f303a3e323a35-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</w:tcPr>
          <w:p w14:paraId="41FE0293" w14:textId="77777777" w:rsidR="005D198A" w:rsidRDefault="005D198A" w:rsidP="005D198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</w:rPr>
              <w:t xml:space="preserve">Не подлежит </w:t>
            </w:r>
            <w:r w:rsidRPr="00A56C19">
              <w:rPr>
                <w:rFonts w:eastAsia="Calibri"/>
              </w:rPr>
              <w:t xml:space="preserve"> повторному </w:t>
            </w:r>
            <w:r>
              <w:rPr>
                <w:rFonts w:eastAsia="Calibri"/>
              </w:rPr>
              <w:t xml:space="preserve"> </w:t>
            </w:r>
            <w:r w:rsidRPr="00A56C19">
              <w:rPr>
                <w:rFonts w:eastAsia="Calibri"/>
              </w:rPr>
              <w:t xml:space="preserve"> использованию</w:t>
            </w:r>
          </w:p>
        </w:tc>
      </w:tr>
      <w:tr w:rsidR="005D198A" w14:paraId="2DE84EB5" w14:textId="77777777" w:rsidTr="005D198A">
        <w:tc>
          <w:tcPr>
            <w:tcW w:w="2518" w:type="dxa"/>
          </w:tcPr>
          <w:p w14:paraId="7AA9C456" w14:textId="77777777" w:rsidR="005D198A" w:rsidRDefault="005D198A" w:rsidP="005D198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 wp14:anchorId="00F52808" wp14:editId="580D6B16">
                  <wp:extent cx="439387" cy="355964"/>
                  <wp:effectExtent l="0" t="0" r="0" b="6350"/>
                  <wp:docPr id="5" name="Рисунок 5" descr="wpid-13_fm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9" descr="wpid-13_fm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518" cy="35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</w:tcPr>
          <w:p w14:paraId="5DDE22C2" w14:textId="77777777" w:rsidR="005D198A" w:rsidRDefault="005D198A" w:rsidP="0038749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56C19">
              <w:rPr>
                <w:color w:val="000000"/>
              </w:rPr>
              <w:t xml:space="preserve">Устройство медицинского назначения </w:t>
            </w:r>
            <w:r>
              <w:rPr>
                <w:color w:val="000000"/>
              </w:rPr>
              <w:t xml:space="preserve">для диагностики </w:t>
            </w:r>
            <w:r w:rsidRPr="00A56C19">
              <w:rPr>
                <w:color w:val="000000"/>
              </w:rPr>
              <w:t>in vitro</w:t>
            </w:r>
          </w:p>
        </w:tc>
      </w:tr>
      <w:tr w:rsidR="005D198A" w14:paraId="64CBF9E4" w14:textId="77777777" w:rsidTr="005D198A">
        <w:tc>
          <w:tcPr>
            <w:tcW w:w="2518" w:type="dxa"/>
          </w:tcPr>
          <w:p w14:paraId="4420549D" w14:textId="77777777" w:rsidR="005D198A" w:rsidRDefault="005D198A" w:rsidP="005D198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5D1FCF8" wp14:editId="33E26A18">
                  <wp:extent cx="313923" cy="320634"/>
                  <wp:effectExtent l="0" t="0" r="0" b="3810"/>
                  <wp:docPr id="4" name="Рисунок 4" descr="ÐÐÐ¡Ð¢ Ð  ÐÐ¡Ð 15223-1-2014 ÐÐ·Ð´ÐµÐ»Ð¸Ñ Ð¼ÐµÐ´Ð¸ÑÐ¸Ð½ÑÐºÐ¸Ðµ. Ð¡Ð¸Ð¼Ð²Ð¾Ð»Ñ, Ð¿ÑÐ¸Ð¼ÐµÐ½ÑÐµÐ¼ÑÐµ Ð¿ÑÐ¸ Ð¼Ð°ÑÐºÐ¸ÑÐ¾Ð²Ð°Ð½Ð¸Ð¸ Ð½Ð° Ð¼ÐµÐ´Ð¸ÑÐ¸Ð½ÑÐºÐ¸Ñ Ð¸Ð·Ð´ÐµÐ»Ð¸ÑÑ, ÑÑÐ¸ÐºÐµÑÐºÐ°Ñ Ð¸ Ð² ÑÐ¾Ð¿ÑÐ¾Ð²Ð¾Ð´Ð¸ÑÐµÐ»ÑÐ½Ð¾Ð¹ Ð´Ð¾ÐºÑÐ¼ÐµÐ½ÑÐ°ÑÐ¸Ð¸. Ð§Ð°ÑÑÑ 1. ÐÑÐ½Ð¾Ð²Ð½ÑÐµ ÑÑÐµÐ±Ð¾Ð²Ð°Ð½Ð¸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0" descr="ÐÐÐ¡Ð¢ Ð  ÐÐ¡Ð 15223-1-2014 ÐÐ·Ð´ÐµÐ»Ð¸Ñ Ð¼ÐµÐ´Ð¸ÑÐ¸Ð½ÑÐºÐ¸Ðµ. Ð¡Ð¸Ð¼Ð²Ð¾Ð»Ñ, Ð¿ÑÐ¸Ð¼ÐµÐ½ÑÐµÐ¼ÑÐµ Ð¿ÑÐ¸ Ð¼Ð°ÑÐºÐ¸ÑÐ¾Ð²Ð°Ð½Ð¸Ð¸ Ð½Ð° Ð¼ÐµÐ´Ð¸ÑÐ¸Ð½ÑÐºÐ¸Ñ Ð¸Ð·Ð´ÐµÐ»Ð¸ÑÑ, ÑÑÐ¸ÐºÐµÑÐºÐ°Ñ Ð¸ Ð² ÑÐ¾Ð¿ÑÐ¾Ð²Ð¾Ð´Ð¸ÑÐµÐ»ÑÐ½Ð¾Ð¹ Ð´Ð¾ÐºÑÐ¼ÐµÐ½ÑÐ°ÑÐ¸Ð¸. Ð§Ð°ÑÑÑ 1. ÐÑÐ½Ð¾Ð²Ð½ÑÐµ ÑÑÐµÐ±Ð¾Ð²Ð°Ð½Ð¸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087" cy="320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</w:tcPr>
          <w:p w14:paraId="275AE33A" w14:textId="77777777" w:rsidR="005D198A" w:rsidRDefault="005D198A" w:rsidP="0038749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56C19">
              <w:rPr>
                <w:color w:val="000000"/>
              </w:rPr>
              <w:t>Изготовитель</w:t>
            </w:r>
          </w:p>
        </w:tc>
      </w:tr>
      <w:tr w:rsidR="005D198A" w14:paraId="346BA5C3" w14:textId="77777777" w:rsidTr="005D198A">
        <w:tc>
          <w:tcPr>
            <w:tcW w:w="2518" w:type="dxa"/>
          </w:tcPr>
          <w:tbl>
            <w:tblPr>
              <w:tblpPr w:leftFromText="180" w:rightFromText="180" w:vertAnchor="text" w:horzAnchor="margin" w:tblpXSpec="center" w:tblpY="-189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</w:tblGrid>
            <w:tr w:rsidR="005D198A" w:rsidRPr="00F24529" w14:paraId="79D3CF83" w14:textId="77777777" w:rsidTr="005D198A">
              <w:trPr>
                <w:trHeight w:val="366"/>
              </w:trPr>
              <w:tc>
                <w:tcPr>
                  <w:tcW w:w="446" w:type="dxa"/>
                  <w:shd w:val="clear" w:color="auto" w:fill="auto"/>
                </w:tcPr>
                <w:p w14:paraId="003E8729" w14:textId="77777777" w:rsidR="005D198A" w:rsidRPr="00F24529" w:rsidRDefault="005D198A" w:rsidP="0074564E">
                  <w:pPr>
                    <w:jc w:val="both"/>
                    <w:rPr>
                      <w:rFonts w:eastAsia="Calibri"/>
                      <w:b/>
                    </w:rPr>
                  </w:pPr>
                  <w:r w:rsidRPr="00F24529">
                    <w:rPr>
                      <w:rFonts w:eastAsia="Calibri"/>
                      <w:b/>
                      <w:lang w:val="en-US"/>
                    </w:rPr>
                    <w:t>EXP</w:t>
                  </w:r>
                </w:p>
              </w:tc>
            </w:tr>
          </w:tbl>
          <w:p w14:paraId="4DCCC775" w14:textId="77777777" w:rsidR="005D198A" w:rsidRDefault="005D198A" w:rsidP="00A64E67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6769" w:type="dxa"/>
          </w:tcPr>
          <w:p w14:paraId="440CA6E6" w14:textId="77777777" w:rsidR="005D198A" w:rsidRPr="00A56C19" w:rsidRDefault="005D198A" w:rsidP="00A64E67">
            <w:pPr>
              <w:jc w:val="both"/>
              <w:rPr>
                <w:color w:val="000000"/>
              </w:rPr>
            </w:pPr>
            <w:r w:rsidRPr="00A56C19">
              <w:rPr>
                <w:rFonts w:eastAsia="Calibri"/>
              </w:rPr>
              <w:t>Дата истечения срока годности</w:t>
            </w:r>
          </w:p>
        </w:tc>
      </w:tr>
      <w:tr w:rsidR="005D198A" w14:paraId="2563E1CF" w14:textId="77777777" w:rsidTr="005D198A">
        <w:tc>
          <w:tcPr>
            <w:tcW w:w="2518" w:type="dxa"/>
          </w:tcPr>
          <w:p w14:paraId="20C30C5F" w14:textId="77777777" w:rsidR="005D198A" w:rsidRDefault="005D198A" w:rsidP="00A64E67">
            <w:pPr>
              <w:jc w:val="center"/>
              <w:rPr>
                <w:noProof/>
                <w:color w:va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00CF6CF" wp14:editId="5C651FBD">
                  <wp:extent cx="260582" cy="320634"/>
                  <wp:effectExtent l="0" t="0" r="6350" b="3810"/>
                  <wp:docPr id="3" name="Рисунок 3" descr="Image result for Ð¾Ð³ÑÐ°Ð½Ð¸ÑÐµÐ½Ð¸Ðµ ÑÐµÐ¼Ð¿ÐµÑÐ°ÑÑÑÑ ÑÑÐ»Ð¾Ð²Ð½ÑÐµ Ð¾Ð±Ð¾Ð·Ð½Ð°ÑÐµÐ½Ð¸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Image result for Ð¾Ð³ÑÐ°Ð½Ð¸ÑÐµÐ½Ð¸Ðµ ÑÐµÐ¼Ð¿ÐµÑÐ°ÑÑÑÑ ÑÑÐ»Ð¾Ð²Ð½ÑÐµ Ð¾Ð±Ð¾Ð·Ð½Ð°ÑÐµÐ½Ð¸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456" cy="320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</w:tcPr>
          <w:p w14:paraId="75BE6CE1" w14:textId="77777777" w:rsidR="005D198A" w:rsidRPr="00A56C19" w:rsidRDefault="005D198A" w:rsidP="005D198A">
            <w:pPr>
              <w:jc w:val="both"/>
              <w:rPr>
                <w:color w:val="000000"/>
              </w:rPr>
            </w:pPr>
            <w:r w:rsidRPr="00A56C19">
              <w:rPr>
                <w:noProof/>
              </w:rPr>
              <w:t>Ограничение  температуры</w:t>
            </w:r>
          </w:p>
        </w:tc>
      </w:tr>
      <w:tr w:rsidR="005D198A" w14:paraId="537AE021" w14:textId="77777777" w:rsidTr="005D198A">
        <w:tc>
          <w:tcPr>
            <w:tcW w:w="2518" w:type="dxa"/>
          </w:tcPr>
          <w:p w14:paraId="03DA9599" w14:textId="77777777" w:rsidR="005D198A" w:rsidRDefault="005D198A" w:rsidP="005D198A">
            <w:pPr>
              <w:jc w:val="center"/>
              <w:rPr>
                <w:noProof/>
                <w:color w:val="000000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2E7F8CDF" wp14:editId="6E4C2079">
                  <wp:extent cx="212326" cy="261257"/>
                  <wp:effectExtent l="0" t="0" r="0" b="5715"/>
                  <wp:docPr id="2" name="Рисунок 2" descr="wpid-02_fm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2" descr="wpid-02_fm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24" cy="261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</w:tcPr>
          <w:p w14:paraId="73A9C86D" w14:textId="77777777" w:rsidR="005D198A" w:rsidRPr="00A56C19" w:rsidRDefault="005D198A" w:rsidP="00387494">
            <w:pPr>
              <w:jc w:val="both"/>
              <w:rPr>
                <w:color w:val="000000"/>
              </w:rPr>
            </w:pPr>
            <w:r w:rsidRPr="00A56C19">
              <w:rPr>
                <w:rFonts w:eastAsia="Calibri"/>
              </w:rPr>
              <w:t>Срок годности</w:t>
            </w:r>
          </w:p>
        </w:tc>
      </w:tr>
      <w:tr w:rsidR="005D198A" w14:paraId="0F65B015" w14:textId="77777777" w:rsidTr="005D198A">
        <w:tc>
          <w:tcPr>
            <w:tcW w:w="2518" w:type="dxa"/>
          </w:tcPr>
          <w:tbl>
            <w:tblPr>
              <w:tblpPr w:leftFromText="180" w:rightFromText="180" w:vertAnchor="text" w:horzAnchor="margin" w:tblpXSpec="center" w:tblpY="-22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696"/>
            </w:tblGrid>
            <w:tr w:rsidR="005D198A" w:rsidRPr="00F24529" w14:paraId="76D03EFF" w14:textId="77777777" w:rsidTr="005D198A">
              <w:trPr>
                <w:trHeight w:val="349"/>
              </w:trPr>
              <w:tc>
                <w:tcPr>
                  <w:tcW w:w="523" w:type="dxa"/>
                  <w:shd w:val="clear" w:color="auto" w:fill="auto"/>
                </w:tcPr>
                <w:p w14:paraId="2BF5266F" w14:textId="77777777" w:rsidR="005D198A" w:rsidRPr="00F24529" w:rsidRDefault="005D198A" w:rsidP="0069344A">
                  <w:pPr>
                    <w:jc w:val="both"/>
                    <w:rPr>
                      <w:rFonts w:eastAsia="Calibri"/>
                      <w:b/>
                      <w:lang w:val="en-US"/>
                    </w:rPr>
                  </w:pPr>
                  <w:r w:rsidRPr="00F24529">
                    <w:rPr>
                      <w:rFonts w:eastAsia="Calibri"/>
                      <w:b/>
                      <w:lang w:val="en-US"/>
                    </w:rPr>
                    <w:t>DOM</w:t>
                  </w:r>
                </w:p>
              </w:tc>
            </w:tr>
          </w:tbl>
          <w:p w14:paraId="2E0DB233" w14:textId="77777777" w:rsidR="005D198A" w:rsidRDefault="005D198A" w:rsidP="005D198A">
            <w:pPr>
              <w:jc w:val="center"/>
              <w:rPr>
                <w:rFonts w:eastAsia="Calibri"/>
                <w:noProof/>
              </w:rPr>
            </w:pPr>
          </w:p>
        </w:tc>
        <w:tc>
          <w:tcPr>
            <w:tcW w:w="6769" w:type="dxa"/>
          </w:tcPr>
          <w:p w14:paraId="5E7A2837" w14:textId="77777777" w:rsidR="005D198A" w:rsidRPr="00A56C19" w:rsidRDefault="005D198A" w:rsidP="00D31312">
            <w:pPr>
              <w:jc w:val="both"/>
              <w:rPr>
                <w:color w:val="000000"/>
              </w:rPr>
            </w:pPr>
            <w:r w:rsidRPr="00A56C19">
              <w:rPr>
                <w:rFonts w:eastAsia="Calibri"/>
              </w:rPr>
              <w:t>Дата изготовления</w:t>
            </w:r>
          </w:p>
        </w:tc>
      </w:tr>
    </w:tbl>
    <w:p w14:paraId="4B20D0E6" w14:textId="77777777" w:rsidR="005D198A" w:rsidRDefault="005D198A" w:rsidP="00387494">
      <w:pPr>
        <w:jc w:val="both"/>
        <w:rPr>
          <w:b/>
          <w:bCs/>
          <w:color w:val="000000"/>
          <w:sz w:val="28"/>
          <w:szCs w:val="28"/>
        </w:rPr>
      </w:pPr>
    </w:p>
    <w:p w14:paraId="44FAD508" w14:textId="77777777" w:rsidR="005D198A" w:rsidRPr="004D3887" w:rsidRDefault="005D198A" w:rsidP="00387494">
      <w:pPr>
        <w:jc w:val="both"/>
        <w:rPr>
          <w:b/>
          <w:bCs/>
          <w:color w:val="000000"/>
          <w:sz w:val="28"/>
          <w:szCs w:val="28"/>
        </w:rPr>
      </w:pPr>
    </w:p>
    <w:p w14:paraId="65CB66B3" w14:textId="77777777" w:rsidR="00387494" w:rsidRDefault="00387494" w:rsidP="00387494">
      <w:pPr>
        <w:jc w:val="both"/>
        <w:rPr>
          <w:b/>
          <w:color w:val="000000"/>
          <w:sz w:val="28"/>
          <w:szCs w:val="28"/>
        </w:rPr>
      </w:pPr>
    </w:p>
    <w:p w14:paraId="472FD637" w14:textId="77777777" w:rsidR="00387494" w:rsidRDefault="00387494" w:rsidP="00387494">
      <w:pPr>
        <w:jc w:val="both"/>
        <w:rPr>
          <w:sz w:val="28"/>
          <w:szCs w:val="28"/>
        </w:rPr>
      </w:pPr>
    </w:p>
    <w:p w14:paraId="1139D91F" w14:textId="77777777" w:rsidR="00387494" w:rsidRDefault="00387494" w:rsidP="00387494">
      <w:pPr>
        <w:rPr>
          <w:b/>
          <w:sz w:val="28"/>
          <w:szCs w:val="28"/>
        </w:rPr>
      </w:pPr>
    </w:p>
    <w:p w14:paraId="734B2545" w14:textId="77777777" w:rsidR="00387494" w:rsidRPr="009E1D99" w:rsidRDefault="00387494" w:rsidP="00880123">
      <w:pPr>
        <w:spacing w:after="0" w:line="240" w:lineRule="auto"/>
        <w:jc w:val="both"/>
        <w:rPr>
          <w:b/>
          <w:sz w:val="28"/>
          <w:szCs w:val="28"/>
        </w:rPr>
      </w:pPr>
    </w:p>
    <w:p w14:paraId="24E1ABF3" w14:textId="14FE4D6B" w:rsidR="00604F2C" w:rsidRDefault="00604F2C"/>
    <w:sectPr w:rsidR="00604F2C" w:rsidSect="009E1D99">
      <w:footerReference w:type="even" r:id="rId47"/>
      <w:footerReference w:type="default" r:id="rId48"/>
      <w:footerReference w:type="first" r:id="rId4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6DFF1" w14:textId="77777777" w:rsidR="00E74D2F" w:rsidRDefault="00E74D2F">
      <w:pPr>
        <w:spacing w:after="0" w:line="240" w:lineRule="auto"/>
      </w:pPr>
      <w:r>
        <w:separator/>
      </w:r>
    </w:p>
  </w:endnote>
  <w:endnote w:type="continuationSeparator" w:id="0">
    <w:p w14:paraId="00EFA848" w14:textId="77777777" w:rsidR="00E74D2F" w:rsidRDefault="00E7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">
    <w:altName w:val="Cambria Math"/>
    <w:charset w:val="CC"/>
    <w:family w:val="roman"/>
    <w:pitch w:val="variable"/>
    <w:sig w:usb0="00000001" w:usb1="5000E07B" w:usb2="00000000" w:usb3="00000000" w:csb0="0000019F" w:csb1="00000000"/>
  </w:font>
  <w:font w:name="MyriadPro-LightCond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3DD2" w14:textId="77777777" w:rsidR="009D472B" w:rsidRDefault="00E74D2F"/>
  <w:p w14:paraId="53E787F1" w14:textId="77777777" w:rsidR="00604F2C" w:rsidRDefault="00A87FF2">
    <w:r>
      <w:rPr>
        <w:rFonts w:ascii="Times New Roman" w:eastAsia="Times New Roman" w:hAnsi="Times New Roman" w:cs="Times New Roman"/>
      </w:rPr>
      <w:t>Решение: N032507</w:t>
    </w:r>
    <w:r>
      <w:rPr>
        <w:rFonts w:ascii="Times New Roman" w:eastAsia="Times New Roman" w:hAnsi="Times New Roman" w:cs="Times New Roman"/>
      </w:rPr>
      <w:br/>
      <w:t>Дата решения: 28.09.2020</w:t>
    </w:r>
    <w:r>
      <w:rPr>
        <w:rFonts w:ascii="Times New Roman" w:eastAsia="Times New Roman" w:hAnsi="Times New Roman" w:cs="Times New Roman"/>
      </w:rPr>
      <w:br/>
      <w:t>Фамилия, имя, отчество (при его наличии) руководителя государственного органа (или уполномоченное лицо): Асылбеков Н. А.</w:t>
    </w:r>
    <w:r>
      <w:rPr>
        <w:rFonts w:ascii="Times New Roman" w:eastAsia="Times New Roman" w:hAnsi="Times New Roman" w:cs="Times New Roman"/>
      </w:rPr>
      <w:br/>
      <w:t>(Комитет контроля качества и безопасности товаров и услуг)</w:t>
    </w:r>
    <w:r>
      <w:rPr>
        <w:rFonts w:ascii="Times New Roman" w:eastAsia="Times New Roman" w:hAnsi="Times New Roman" w:cs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35216" w14:textId="77777777" w:rsidR="009D472B" w:rsidRDefault="00E74D2F"/>
  <w:p w14:paraId="0E10FDEC" w14:textId="2EEECB67" w:rsidR="00604F2C" w:rsidRDefault="00604F2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1DF8E" w14:textId="77777777" w:rsidR="009D472B" w:rsidRDefault="00E74D2F"/>
  <w:p w14:paraId="6C7A38E1" w14:textId="77777777" w:rsidR="00604F2C" w:rsidRDefault="00A87FF2">
    <w:r>
      <w:rPr>
        <w:rFonts w:ascii="Times New Roman" w:eastAsia="Times New Roman" w:hAnsi="Times New Roman" w:cs="Times New Roman"/>
      </w:rPr>
      <w:t>Решение: N032507</w:t>
    </w:r>
    <w:r>
      <w:rPr>
        <w:rFonts w:ascii="Times New Roman" w:eastAsia="Times New Roman" w:hAnsi="Times New Roman" w:cs="Times New Roman"/>
      </w:rPr>
      <w:br/>
      <w:t>Дата решения: 28.09.2020</w:t>
    </w:r>
    <w:r>
      <w:rPr>
        <w:rFonts w:ascii="Times New Roman" w:eastAsia="Times New Roman" w:hAnsi="Times New Roman" w:cs="Times New Roman"/>
      </w:rPr>
      <w:br/>
      <w:t>Фамилия, имя, отчество (при его наличии) руководителя государственного органа (или уполномоченное лицо): Асылбеков Н. А.</w:t>
    </w:r>
    <w:r>
      <w:rPr>
        <w:rFonts w:ascii="Times New Roman" w:eastAsia="Times New Roman" w:hAnsi="Times New Roman" w:cs="Times New Roman"/>
      </w:rPr>
      <w:br/>
      <w:t>(Комитет контроля качества и безопасности товаров и услуг)</w:t>
    </w:r>
    <w:r>
      <w:rPr>
        <w:rFonts w:ascii="Times New Roman" w:eastAsia="Times New Roman" w:hAnsi="Times New Roman" w:cs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62618" w14:textId="77777777" w:rsidR="00E74D2F" w:rsidRDefault="00E74D2F">
      <w:pPr>
        <w:spacing w:after="0" w:line="240" w:lineRule="auto"/>
      </w:pPr>
      <w:r>
        <w:separator/>
      </w:r>
    </w:p>
  </w:footnote>
  <w:footnote w:type="continuationSeparator" w:id="0">
    <w:p w14:paraId="038A3811" w14:textId="77777777" w:rsidR="00E74D2F" w:rsidRDefault="00E74D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0D7"/>
    <w:rsid w:val="00000D69"/>
    <w:rsid w:val="00013D61"/>
    <w:rsid w:val="0003585F"/>
    <w:rsid w:val="000A7ADD"/>
    <w:rsid w:val="001E48B2"/>
    <w:rsid w:val="00210EC1"/>
    <w:rsid w:val="00217D6C"/>
    <w:rsid w:val="003863AB"/>
    <w:rsid w:val="00387494"/>
    <w:rsid w:val="003E1530"/>
    <w:rsid w:val="00455A19"/>
    <w:rsid w:val="00534463"/>
    <w:rsid w:val="005B699D"/>
    <w:rsid w:val="005D198A"/>
    <w:rsid w:val="00604F2C"/>
    <w:rsid w:val="006127D7"/>
    <w:rsid w:val="006E0714"/>
    <w:rsid w:val="00871B52"/>
    <w:rsid w:val="00880123"/>
    <w:rsid w:val="008B6DFB"/>
    <w:rsid w:val="009E1D99"/>
    <w:rsid w:val="00A63537"/>
    <w:rsid w:val="00A87FF2"/>
    <w:rsid w:val="00AC5D32"/>
    <w:rsid w:val="00AD04CE"/>
    <w:rsid w:val="00B33CF8"/>
    <w:rsid w:val="00C85E74"/>
    <w:rsid w:val="00E34355"/>
    <w:rsid w:val="00E74D2F"/>
    <w:rsid w:val="00EE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FC50"/>
  <w15:docId w15:val="{4D6E2462-6FA4-4BD7-B40A-E6DD244F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0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E07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E07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E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0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0123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uiPriority w:val="99"/>
    <w:rsid w:val="00387494"/>
    <w:rPr>
      <w:color w:val="0000FF"/>
      <w:u w:val="single"/>
    </w:rPr>
  </w:style>
  <w:style w:type="paragraph" w:styleId="a9">
    <w:name w:val="No Spacing"/>
    <w:uiPriority w:val="1"/>
    <w:qFormat/>
    <w:rsid w:val="005D198A"/>
    <w:pPr>
      <w:spacing w:after="0" w:line="240" w:lineRule="auto"/>
    </w:pPr>
    <w:rPr>
      <w:rFonts w:ascii="Minion" w:eastAsia="Calibri" w:hAnsi="Minion" w:cs="Times New Roman"/>
      <w:lang w:val="en-US"/>
    </w:rPr>
  </w:style>
  <w:style w:type="character" w:customStyle="1" w:styleId="s0">
    <w:name w:val="s0"/>
    <w:rsid w:val="005D198A"/>
    <w:rPr>
      <w:rFonts w:ascii="Times New Roman" w:hAnsi="Times New Roman"/>
      <w:color w:val="000000"/>
      <w:sz w:val="20"/>
      <w:u w:val="none"/>
      <w:effect w:val="none"/>
    </w:rPr>
  </w:style>
  <w:style w:type="paragraph" w:styleId="aa">
    <w:name w:val="header"/>
    <w:basedOn w:val="a"/>
    <w:link w:val="ab"/>
    <w:uiPriority w:val="99"/>
    <w:unhideWhenUsed/>
    <w:rsid w:val="005B6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B699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3.jpe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6.png"/><Relationship Id="rId47" Type="http://schemas.openxmlformats.org/officeDocument/2006/relationships/footer" Target="footer1.xml"/><Relationship Id="rId50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2.png"/><Relationship Id="rId46" Type="http://schemas.openxmlformats.org/officeDocument/2006/relationships/image" Target="media/image40.jpe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hyperlink" Target="mailto:office.secretary@rogersgroup.in" TargetMode="External"/><Relationship Id="rId40" Type="http://schemas.openxmlformats.org/officeDocument/2006/relationships/image" Target="media/image34.jpeg"/><Relationship Id="rId45" Type="http://schemas.openxmlformats.org/officeDocument/2006/relationships/image" Target="media/image3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8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7.jpeg"/><Relationship Id="rId48" Type="http://schemas.openxmlformats.org/officeDocument/2006/relationships/footer" Target="footer2.xml"/><Relationship Id="rId8" Type="http://schemas.openxmlformats.org/officeDocument/2006/relationships/image" Target="media/image3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4426</Words>
  <Characters>25232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Утеулин Гали Максатович</dc:creator>
  <cp:lastModifiedBy>Dell</cp:lastModifiedBy>
  <cp:revision>4</cp:revision>
  <dcterms:created xsi:type="dcterms:W3CDTF">2020-09-21T09:04:00Z</dcterms:created>
  <dcterms:modified xsi:type="dcterms:W3CDTF">2024-11-25T12:41:00Z</dcterms:modified>
</cp:coreProperties>
</file>